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AC9F5" w14:textId="4B93095E" w:rsidR="00FD1A8D" w:rsidRPr="00DB66B9" w:rsidRDefault="00FD1A8D" w:rsidP="00EB40DC">
      <w:pPr>
        <w:spacing w:after="0" w:line="276" w:lineRule="auto"/>
        <w:jc w:val="both"/>
        <w:rPr>
          <w:rFonts w:cstheme="minorHAnsi"/>
          <w:color w:val="2F5496" w:themeColor="accent1" w:themeShade="BF"/>
          <w:lang w:val="ro-RO"/>
        </w:rPr>
      </w:pPr>
      <w:r w:rsidRPr="00DB66B9">
        <w:rPr>
          <w:rFonts w:cstheme="minorHAnsi"/>
          <w:b/>
          <w:bCs/>
          <w:color w:val="2F5496" w:themeColor="accent1" w:themeShade="BF"/>
          <w:lang w:val="ro-RO"/>
        </w:rPr>
        <w:t>Program:</w:t>
      </w:r>
      <w:r w:rsidRPr="00DB66B9">
        <w:rPr>
          <w:rFonts w:cstheme="minorHAnsi"/>
          <w:b/>
          <w:color w:val="2F5496" w:themeColor="accent1" w:themeShade="BF"/>
          <w:lang w:val="ro-RO"/>
        </w:rPr>
        <w:t xml:space="preserve"> Programul Regional </w:t>
      </w:r>
      <w:r w:rsidR="00093B89" w:rsidRPr="00DB66B9">
        <w:rPr>
          <w:rFonts w:cstheme="minorHAnsi"/>
          <w:b/>
          <w:color w:val="2F5496" w:themeColor="accent1" w:themeShade="BF"/>
          <w:lang w:val="ro-RO"/>
        </w:rPr>
        <w:t>Sud-</w:t>
      </w:r>
      <w:r w:rsidR="00560551" w:rsidRPr="00DB66B9">
        <w:rPr>
          <w:rFonts w:cstheme="minorHAnsi"/>
          <w:b/>
          <w:color w:val="2F5496" w:themeColor="accent1" w:themeShade="BF"/>
          <w:lang w:val="ro-RO"/>
        </w:rPr>
        <w:t>E</w:t>
      </w:r>
      <w:r w:rsidRPr="00DB66B9">
        <w:rPr>
          <w:rFonts w:cstheme="minorHAnsi"/>
          <w:b/>
          <w:color w:val="2F5496" w:themeColor="accent1" w:themeShade="BF"/>
          <w:lang w:val="ro-RO"/>
        </w:rPr>
        <w:t>st 2021-2027</w:t>
      </w:r>
    </w:p>
    <w:p w14:paraId="0D1B34FB" w14:textId="77777777" w:rsidR="00465474" w:rsidRPr="00DB66B9" w:rsidRDefault="00FD1A8D" w:rsidP="00EB40DC">
      <w:pPr>
        <w:spacing w:after="0" w:line="276" w:lineRule="auto"/>
        <w:jc w:val="both"/>
        <w:rPr>
          <w:rFonts w:cstheme="minorHAnsi"/>
          <w:b/>
          <w:bCs/>
          <w:color w:val="2F5496" w:themeColor="accent1" w:themeShade="BF"/>
          <w:lang w:val="ro-RO"/>
        </w:rPr>
      </w:pPr>
      <w:r w:rsidRPr="00DB66B9">
        <w:rPr>
          <w:rFonts w:cstheme="minorHAnsi"/>
          <w:b/>
          <w:bCs/>
          <w:color w:val="2F5496" w:themeColor="accent1" w:themeShade="BF"/>
          <w:lang w:val="ro-RO"/>
        </w:rPr>
        <w:t xml:space="preserve">Obiectiv de politică </w:t>
      </w:r>
      <w:r w:rsidR="00465474" w:rsidRPr="00DB66B9">
        <w:rPr>
          <w:rFonts w:cstheme="minorHAnsi"/>
          <w:b/>
          <w:bCs/>
          <w:color w:val="2F5496" w:themeColor="accent1" w:themeShade="BF"/>
          <w:lang w:val="ro-RO"/>
        </w:rPr>
        <w:t>1</w:t>
      </w:r>
      <w:r w:rsidRPr="00DB66B9">
        <w:rPr>
          <w:rFonts w:cstheme="minorHAnsi"/>
          <w:b/>
          <w:bCs/>
          <w:color w:val="2F5496" w:themeColor="accent1" w:themeShade="BF"/>
          <w:lang w:val="ro-RO"/>
        </w:rPr>
        <w:t>:</w:t>
      </w:r>
      <w:r w:rsidR="006E3FCF" w:rsidRPr="00DB66B9">
        <w:rPr>
          <w:rFonts w:cstheme="minorHAnsi"/>
          <w:b/>
          <w:bCs/>
          <w:color w:val="2F5496" w:themeColor="accent1" w:themeShade="BF"/>
          <w:lang w:val="ro-RO"/>
        </w:rPr>
        <w:t xml:space="preserve"> </w:t>
      </w:r>
      <w:r w:rsidR="00465474" w:rsidRPr="00DB66B9">
        <w:rPr>
          <w:rFonts w:cstheme="minorHAnsi"/>
          <w:b/>
          <w:color w:val="2F5496" w:themeColor="accent1" w:themeShade="BF"/>
          <w:lang w:val="ro-RO"/>
        </w:rPr>
        <w:t>O Europă mai competitivă și mai inteligentă, prin promovarea unei transformări economice inovatoare și inteligente și a conectivității TIC regionale</w:t>
      </w:r>
      <w:r w:rsidR="00465474" w:rsidRPr="00DB66B9">
        <w:rPr>
          <w:rFonts w:cstheme="minorHAnsi"/>
          <w:b/>
          <w:bCs/>
          <w:color w:val="2F5496" w:themeColor="accent1" w:themeShade="BF"/>
          <w:lang w:val="ro-RO"/>
        </w:rPr>
        <w:t xml:space="preserve"> </w:t>
      </w:r>
    </w:p>
    <w:p w14:paraId="78643E99" w14:textId="5D933054" w:rsidR="006E3FCF" w:rsidRPr="00DB66B9" w:rsidRDefault="00FD1A8D" w:rsidP="00EB40DC">
      <w:pPr>
        <w:spacing w:after="0" w:line="276" w:lineRule="auto"/>
        <w:jc w:val="both"/>
        <w:rPr>
          <w:rFonts w:cstheme="minorHAnsi"/>
          <w:b/>
          <w:bCs/>
          <w:color w:val="2F5496" w:themeColor="accent1" w:themeShade="BF"/>
          <w:lang w:val="ro-RO"/>
        </w:rPr>
      </w:pPr>
      <w:r w:rsidRPr="00DB66B9">
        <w:rPr>
          <w:rFonts w:cstheme="minorHAnsi"/>
          <w:b/>
          <w:bCs/>
          <w:color w:val="2F5496" w:themeColor="accent1" w:themeShade="BF"/>
          <w:lang w:val="ro-RO"/>
        </w:rPr>
        <w:t xml:space="preserve">Prioritatea </w:t>
      </w:r>
      <w:r w:rsidR="00856E02" w:rsidRPr="00DB66B9">
        <w:rPr>
          <w:rFonts w:cstheme="minorHAnsi"/>
          <w:b/>
          <w:bCs/>
          <w:color w:val="2F5496" w:themeColor="accent1" w:themeShade="BF"/>
          <w:lang w:val="ro-RO"/>
        </w:rPr>
        <w:t>1:</w:t>
      </w:r>
      <w:r w:rsidR="00856E02" w:rsidRPr="00DB66B9">
        <w:rPr>
          <w:rFonts w:cstheme="minorHAnsi"/>
          <w:iCs/>
          <w:color w:val="2F5496" w:themeColor="accent1" w:themeShade="BF"/>
          <w:lang w:val="ro-RO"/>
        </w:rPr>
        <w:t xml:space="preserve"> </w:t>
      </w:r>
      <w:r w:rsidR="0050153E" w:rsidRPr="00DB66B9">
        <w:rPr>
          <w:rFonts w:cstheme="minorHAnsi"/>
          <w:b/>
          <w:color w:val="2F5496" w:themeColor="accent1" w:themeShade="BF"/>
          <w:lang w:val="ro-RO"/>
        </w:rPr>
        <w:t>O regiune competititivă prin inovare, digitalizare și întreprinderi dinamice</w:t>
      </w:r>
    </w:p>
    <w:p w14:paraId="07E2FE44" w14:textId="2146B506" w:rsidR="0050153E" w:rsidRPr="00DB66B9" w:rsidRDefault="00FD1A8D" w:rsidP="00EB40DC">
      <w:pPr>
        <w:spacing w:after="0" w:line="276" w:lineRule="auto"/>
        <w:jc w:val="both"/>
        <w:rPr>
          <w:rFonts w:cstheme="minorHAnsi"/>
          <w:b/>
          <w:color w:val="2F5496" w:themeColor="accent1" w:themeShade="BF"/>
          <w:lang w:val="ro-RO"/>
        </w:rPr>
      </w:pPr>
      <w:r w:rsidRPr="00DB66B9">
        <w:rPr>
          <w:rFonts w:cstheme="minorHAnsi"/>
          <w:b/>
          <w:bCs/>
          <w:color w:val="2F5496" w:themeColor="accent1" w:themeShade="BF"/>
          <w:lang w:val="ro-RO"/>
        </w:rPr>
        <w:t xml:space="preserve">Obiectiv Specific </w:t>
      </w:r>
      <w:r w:rsidR="008639FE" w:rsidRPr="00DB66B9">
        <w:rPr>
          <w:rFonts w:cstheme="minorHAnsi"/>
          <w:b/>
          <w:bCs/>
          <w:color w:val="2F5496" w:themeColor="accent1" w:themeShade="BF"/>
          <w:lang w:val="ro-RO"/>
        </w:rPr>
        <w:t>1.3</w:t>
      </w:r>
      <w:r w:rsidRPr="00DB66B9">
        <w:rPr>
          <w:rFonts w:cstheme="minorHAnsi"/>
          <w:b/>
          <w:bCs/>
          <w:color w:val="2F5496" w:themeColor="accent1" w:themeShade="BF"/>
          <w:lang w:val="ro-RO"/>
        </w:rPr>
        <w:t>:</w:t>
      </w:r>
      <w:r w:rsidRPr="00DB66B9">
        <w:rPr>
          <w:rFonts w:cstheme="minorHAnsi"/>
          <w:color w:val="2F5496" w:themeColor="accent1" w:themeShade="BF"/>
          <w:lang w:val="ro-RO"/>
        </w:rPr>
        <w:t xml:space="preserve"> </w:t>
      </w:r>
      <w:r w:rsidR="008639FE" w:rsidRPr="00DB66B9">
        <w:rPr>
          <w:rFonts w:cstheme="minorHAnsi"/>
          <w:b/>
          <w:color w:val="2F5496" w:themeColor="accent1" w:themeShade="BF"/>
          <w:lang w:val="ro-RO"/>
        </w:rPr>
        <w:t>Intensificarea creșterii durabile și a competitivității IMM-urilor și crearea de locuri de muncă în cadrul IMM-urilor, inclusiv prin investiții productive</w:t>
      </w:r>
      <w:r w:rsidR="0050153E" w:rsidRPr="00DB66B9">
        <w:rPr>
          <w:rFonts w:cstheme="minorHAnsi"/>
          <w:b/>
          <w:color w:val="2F5496" w:themeColor="accent1" w:themeShade="BF"/>
          <w:lang w:val="ro-RO"/>
        </w:rPr>
        <w:t xml:space="preserve"> (FEDR)</w:t>
      </w:r>
      <w:r w:rsidR="008639FE" w:rsidRPr="00DB66B9">
        <w:rPr>
          <w:rFonts w:cstheme="minorHAnsi"/>
          <w:b/>
          <w:color w:val="2F5496" w:themeColor="accent1" w:themeShade="BF"/>
          <w:lang w:val="ro-RO"/>
        </w:rPr>
        <w:t>”,</w:t>
      </w:r>
    </w:p>
    <w:p w14:paraId="309B6226" w14:textId="3F46265B" w:rsidR="0050153E" w:rsidRPr="00DB66B9" w:rsidRDefault="0050153E" w:rsidP="00EB40DC">
      <w:pPr>
        <w:spacing w:after="0" w:line="276" w:lineRule="auto"/>
        <w:jc w:val="both"/>
        <w:rPr>
          <w:rFonts w:cstheme="minorHAnsi"/>
          <w:b/>
          <w:color w:val="2F5496" w:themeColor="accent1" w:themeShade="BF"/>
          <w:lang w:val="ro-RO"/>
        </w:rPr>
      </w:pPr>
      <w:r w:rsidRPr="00DB66B9">
        <w:rPr>
          <w:rFonts w:cstheme="minorHAnsi"/>
          <w:b/>
          <w:color w:val="2F5496" w:themeColor="accent1" w:themeShade="BF"/>
          <w:lang w:val="ro-RO"/>
        </w:rPr>
        <w:t>Acțiunea 1.6 Stimularea activităților inovatoare și creșterea competitivității IMM-urilor</w:t>
      </w:r>
    </w:p>
    <w:p w14:paraId="25DC4796" w14:textId="2AD7AA12" w:rsidR="00FD1A8D" w:rsidRPr="00DB66B9" w:rsidRDefault="008639FE" w:rsidP="00EB40DC">
      <w:pPr>
        <w:spacing w:after="0" w:line="276" w:lineRule="auto"/>
        <w:jc w:val="both"/>
        <w:rPr>
          <w:rFonts w:cstheme="minorHAnsi"/>
          <w:b/>
          <w:color w:val="2F5496" w:themeColor="accent1" w:themeShade="BF"/>
          <w:lang w:val="ro-RO"/>
        </w:rPr>
      </w:pPr>
      <w:r w:rsidRPr="00DB66B9">
        <w:rPr>
          <w:rFonts w:cstheme="minorHAnsi"/>
          <w:b/>
          <w:color w:val="2F5496" w:themeColor="accent1" w:themeShade="BF"/>
          <w:lang w:val="ro-RO"/>
        </w:rPr>
        <w:t xml:space="preserve">Operațiunea </w:t>
      </w:r>
      <w:r w:rsidR="00C4784E">
        <w:rPr>
          <w:rFonts w:cstheme="minorHAnsi"/>
          <w:b/>
          <w:color w:val="2F5496" w:themeColor="accent1" w:themeShade="BF"/>
          <w:lang w:val="ro-RO"/>
        </w:rPr>
        <w:t>A3</w:t>
      </w:r>
      <w:r w:rsidRPr="00DB66B9">
        <w:rPr>
          <w:rFonts w:cstheme="minorHAnsi"/>
          <w:b/>
          <w:color w:val="2F5496" w:themeColor="accent1" w:themeShade="BF"/>
          <w:lang w:val="ro-RO"/>
        </w:rPr>
        <w:t xml:space="preserve">. </w:t>
      </w:r>
      <w:r w:rsidR="0050153E" w:rsidRPr="00DB66B9">
        <w:rPr>
          <w:rFonts w:cstheme="minorHAnsi"/>
          <w:b/>
          <w:color w:val="2F5496" w:themeColor="accent1" w:themeShade="BF"/>
          <w:lang w:val="ro-RO"/>
        </w:rPr>
        <w:t>Creșterea competitivității IMM-urilor – instrument financiar</w:t>
      </w:r>
    </w:p>
    <w:p w14:paraId="7BBC4B94" w14:textId="77777777" w:rsidR="008639FE" w:rsidRPr="00DB66B9" w:rsidRDefault="008639FE" w:rsidP="00EB40DC">
      <w:pPr>
        <w:spacing w:after="0" w:line="276" w:lineRule="auto"/>
        <w:jc w:val="both"/>
        <w:rPr>
          <w:rFonts w:cstheme="minorHAnsi"/>
          <w:b/>
          <w:color w:val="2F5496" w:themeColor="accent1" w:themeShade="BF"/>
          <w:lang w:val="ro-RO"/>
        </w:rPr>
      </w:pPr>
    </w:p>
    <w:p w14:paraId="521D4563" w14:textId="4B624603" w:rsidR="002D1788" w:rsidRPr="00DB66B9" w:rsidRDefault="002D1788" w:rsidP="002D1788">
      <w:pPr>
        <w:rPr>
          <w:rFonts w:cstheme="minorHAnsi"/>
          <w:b/>
          <w:bCs/>
          <w:color w:val="2F5496" w:themeColor="accent1" w:themeShade="BF"/>
          <w:lang w:val="ro-RO"/>
        </w:rPr>
      </w:pPr>
      <w:r w:rsidRPr="00DB66B9">
        <w:rPr>
          <w:rFonts w:cstheme="minorHAnsi"/>
          <w:b/>
          <w:bCs/>
          <w:color w:val="2F5496" w:themeColor="accent1" w:themeShade="BF"/>
          <w:lang w:val="ro-RO"/>
        </w:rPr>
        <w:t>P</w:t>
      </w:r>
      <w:r w:rsidR="00FC7C04" w:rsidRPr="00DB66B9">
        <w:rPr>
          <w:rFonts w:cstheme="minorHAnsi"/>
          <w:b/>
          <w:bCs/>
          <w:color w:val="2F5496" w:themeColor="accent1" w:themeShade="BF"/>
          <w:lang w:val="ro-RO"/>
        </w:rPr>
        <w:t>RSE</w:t>
      </w:r>
      <w:r w:rsidRPr="00DB66B9">
        <w:rPr>
          <w:rFonts w:cstheme="minorHAnsi"/>
          <w:b/>
          <w:bCs/>
          <w:color w:val="2F5496" w:themeColor="accent1" w:themeShade="BF"/>
          <w:lang w:val="ro-RO"/>
        </w:rPr>
        <w:t>/</w:t>
      </w:r>
      <w:r w:rsidR="00FC7C04" w:rsidRPr="00DB66B9">
        <w:rPr>
          <w:rFonts w:cstheme="minorHAnsi"/>
          <w:b/>
          <w:bCs/>
          <w:color w:val="2F5496" w:themeColor="accent1" w:themeShade="BF"/>
          <w:lang w:val="ro-RO"/>
        </w:rPr>
        <w:t>1.6/A.3/</w:t>
      </w:r>
      <w:r w:rsidR="00B32D99" w:rsidRPr="00DB66B9">
        <w:rPr>
          <w:rFonts w:cstheme="minorHAnsi"/>
          <w:b/>
          <w:bCs/>
          <w:color w:val="2F5496" w:themeColor="accent1" w:themeShade="BF"/>
          <w:lang w:val="ro-RO"/>
        </w:rPr>
        <w:t>1/</w:t>
      </w:r>
      <w:r w:rsidRPr="00DB66B9">
        <w:rPr>
          <w:rFonts w:cstheme="minorHAnsi"/>
          <w:b/>
          <w:bCs/>
          <w:color w:val="2F5496" w:themeColor="accent1" w:themeShade="BF"/>
          <w:lang w:val="ro-RO"/>
        </w:rPr>
        <w:t>2025</w:t>
      </w:r>
    </w:p>
    <w:p w14:paraId="3B033DE1" w14:textId="77777777" w:rsidR="00FD1A8D" w:rsidRPr="00DB66B9" w:rsidRDefault="00FD1A8D" w:rsidP="00981FA1">
      <w:pPr>
        <w:tabs>
          <w:tab w:val="left" w:pos="3636"/>
        </w:tabs>
        <w:spacing w:after="0" w:line="276" w:lineRule="auto"/>
        <w:rPr>
          <w:rFonts w:cstheme="minorHAnsi"/>
          <w:b/>
          <w:bCs/>
          <w:color w:val="2F5496" w:themeColor="accent1" w:themeShade="BF"/>
          <w:lang w:val="ro-RO"/>
        </w:rPr>
      </w:pPr>
    </w:p>
    <w:p w14:paraId="13F312F4" w14:textId="29DB797E" w:rsidR="00106BDC" w:rsidRPr="00605C6C" w:rsidRDefault="00106BDC" w:rsidP="00C3776E">
      <w:pPr>
        <w:spacing w:line="276" w:lineRule="auto"/>
        <w:jc w:val="right"/>
        <w:rPr>
          <w:rStyle w:val="Style1"/>
          <w:rFonts w:cstheme="minorHAnsi"/>
          <w:bCs/>
          <w:sz w:val="28"/>
          <w:szCs w:val="28"/>
          <w:lang w:val="ro-RO"/>
        </w:rPr>
      </w:pPr>
      <w:r w:rsidRPr="00605C6C">
        <w:rPr>
          <w:rFonts w:cstheme="minorHAnsi"/>
          <w:b/>
          <w:bCs/>
          <w:sz w:val="28"/>
          <w:szCs w:val="28"/>
          <w:lang w:val="ro-RO"/>
        </w:rPr>
        <w:t xml:space="preserve">Anexa </w:t>
      </w:r>
      <w:r w:rsidR="00C925FA">
        <w:rPr>
          <w:rFonts w:cstheme="minorHAnsi"/>
          <w:b/>
          <w:bCs/>
          <w:sz w:val="28"/>
          <w:szCs w:val="28"/>
          <w:lang w:val="ro-RO"/>
        </w:rPr>
        <w:t>4</w:t>
      </w:r>
    </w:p>
    <w:p w14:paraId="261D252A" w14:textId="77777777" w:rsidR="00C24F46" w:rsidRPr="00605C6C" w:rsidRDefault="00C24F46" w:rsidP="00981FA1">
      <w:pPr>
        <w:tabs>
          <w:tab w:val="left" w:pos="3636"/>
        </w:tabs>
        <w:spacing w:after="0" w:line="276" w:lineRule="auto"/>
        <w:rPr>
          <w:rFonts w:cstheme="minorHAnsi"/>
          <w:b/>
          <w:bCs/>
          <w:sz w:val="28"/>
          <w:szCs w:val="28"/>
          <w:lang w:val="ro-RO"/>
        </w:rPr>
      </w:pPr>
    </w:p>
    <w:p w14:paraId="4548D6F6" w14:textId="0FF6D422" w:rsidR="00C7699F" w:rsidRPr="00605C6C" w:rsidRDefault="00156BD4" w:rsidP="00381B2C">
      <w:pPr>
        <w:tabs>
          <w:tab w:val="left" w:pos="3636"/>
        </w:tabs>
        <w:spacing w:line="276" w:lineRule="auto"/>
        <w:jc w:val="center"/>
        <w:rPr>
          <w:rFonts w:cstheme="minorHAnsi"/>
          <w:b/>
          <w:bCs/>
          <w:sz w:val="28"/>
          <w:szCs w:val="28"/>
          <w:lang w:val="ro-RO"/>
        </w:rPr>
      </w:pPr>
      <w:r w:rsidRPr="00605C6C">
        <w:rPr>
          <w:rFonts w:cstheme="minorHAnsi"/>
          <w:b/>
          <w:bCs/>
          <w:sz w:val="28"/>
          <w:szCs w:val="28"/>
          <w:lang w:val="ro-RO"/>
        </w:rPr>
        <w:t>LISTA</w:t>
      </w:r>
      <w:r w:rsidR="00251180">
        <w:rPr>
          <w:rFonts w:cstheme="minorHAnsi"/>
          <w:b/>
          <w:bCs/>
          <w:sz w:val="28"/>
          <w:szCs w:val="28"/>
          <w:lang w:val="ro-RO"/>
        </w:rPr>
        <w:t xml:space="preserve"> </w:t>
      </w:r>
      <w:r w:rsidRPr="00605C6C">
        <w:rPr>
          <w:rFonts w:cstheme="minorHAnsi"/>
          <w:b/>
          <w:bCs/>
          <w:sz w:val="28"/>
          <w:szCs w:val="28"/>
          <w:lang w:val="ro-RO"/>
        </w:rPr>
        <w:t>INDICATORI</w:t>
      </w:r>
      <w:r w:rsidR="0070057D">
        <w:rPr>
          <w:rFonts w:cstheme="minorHAnsi"/>
          <w:b/>
          <w:bCs/>
          <w:sz w:val="28"/>
          <w:szCs w:val="28"/>
          <w:lang w:val="ro-RO"/>
        </w:rPr>
        <w:t>LOR</w:t>
      </w:r>
      <w:r w:rsidRPr="00605C6C">
        <w:rPr>
          <w:rFonts w:cstheme="minorHAnsi"/>
          <w:b/>
          <w:bCs/>
          <w:sz w:val="28"/>
          <w:szCs w:val="28"/>
          <w:lang w:val="ro-RO"/>
        </w:rPr>
        <w:t xml:space="preserve"> </w:t>
      </w:r>
      <w:r w:rsidR="00E75FBC" w:rsidRPr="00605C6C">
        <w:rPr>
          <w:rFonts w:cstheme="minorHAnsi"/>
          <w:b/>
          <w:bCs/>
          <w:sz w:val="28"/>
          <w:szCs w:val="28"/>
          <w:lang w:val="ro-RO"/>
        </w:rPr>
        <w:t>DE REALIZARE</w:t>
      </w:r>
      <w:r w:rsidR="00251180">
        <w:rPr>
          <w:rFonts w:cstheme="minorHAnsi"/>
          <w:b/>
          <w:bCs/>
          <w:sz w:val="28"/>
          <w:szCs w:val="28"/>
          <w:lang w:val="ro-RO"/>
        </w:rPr>
        <w:t xml:space="preserve"> </w:t>
      </w:r>
      <w:r w:rsidR="0070057D">
        <w:rPr>
          <w:rFonts w:cstheme="minorHAnsi"/>
          <w:b/>
          <w:bCs/>
          <w:sz w:val="28"/>
          <w:szCs w:val="28"/>
          <w:lang w:val="ro-RO"/>
        </w:rPr>
        <w:t>Ș</w:t>
      </w:r>
      <w:r w:rsidR="00251180">
        <w:rPr>
          <w:rFonts w:cstheme="minorHAnsi"/>
          <w:b/>
          <w:bCs/>
          <w:sz w:val="28"/>
          <w:szCs w:val="28"/>
          <w:lang w:val="ro-RO"/>
        </w:rPr>
        <w:t xml:space="preserve">I </w:t>
      </w:r>
      <w:r w:rsidR="00EB40DC" w:rsidRPr="00605C6C">
        <w:rPr>
          <w:rFonts w:cstheme="minorHAnsi"/>
          <w:b/>
          <w:bCs/>
          <w:sz w:val="28"/>
          <w:szCs w:val="28"/>
          <w:lang w:val="ro-RO"/>
        </w:rPr>
        <w:t xml:space="preserve"> DE REZULTAT</w:t>
      </w:r>
      <w:permStart w:id="498168139" w:edGrp="everyone"/>
      <w:permEnd w:id="498168139"/>
    </w:p>
    <w:p w14:paraId="305B9D05" w14:textId="77777777" w:rsidR="00156BD4" w:rsidRPr="00605C6C" w:rsidRDefault="00156BD4" w:rsidP="00981FA1">
      <w:pPr>
        <w:spacing w:after="0" w:line="276" w:lineRule="auto"/>
        <w:rPr>
          <w:rFonts w:cstheme="minorHAnsi"/>
          <w:sz w:val="28"/>
          <w:szCs w:val="28"/>
          <w:lang w:val="ro-RO"/>
        </w:rPr>
      </w:pPr>
    </w:p>
    <w:p w14:paraId="5DB151F0" w14:textId="5DE6491E" w:rsidR="006F6C3B" w:rsidRPr="00605C6C" w:rsidRDefault="00E75FBC" w:rsidP="00EB40DC">
      <w:pPr>
        <w:pStyle w:val="ListParagraph"/>
        <w:numPr>
          <w:ilvl w:val="0"/>
          <w:numId w:val="1"/>
        </w:numPr>
        <w:spacing w:after="0" w:line="276" w:lineRule="auto"/>
        <w:ind w:left="720"/>
        <w:contextualSpacing w:val="0"/>
        <w:rPr>
          <w:rFonts w:cstheme="minorHAnsi"/>
          <w:b/>
          <w:bCs/>
          <w:sz w:val="26"/>
          <w:szCs w:val="26"/>
          <w:lang w:val="ro-RO"/>
        </w:rPr>
      </w:pPr>
      <w:r w:rsidRPr="00605C6C">
        <w:rPr>
          <w:rFonts w:cstheme="minorHAnsi"/>
          <w:b/>
          <w:bCs/>
          <w:sz w:val="26"/>
          <w:szCs w:val="26"/>
          <w:lang w:val="ro-RO"/>
        </w:rPr>
        <w:t>INDICATORI DE REALIZARE</w:t>
      </w:r>
    </w:p>
    <w:tbl>
      <w:tblPr>
        <w:tblStyle w:val="TableGrid"/>
        <w:tblW w:w="9493" w:type="dxa"/>
        <w:tblLook w:val="04A0" w:firstRow="1" w:lastRow="0" w:firstColumn="1" w:lastColumn="0" w:noHBand="0" w:noVBand="1"/>
      </w:tblPr>
      <w:tblGrid>
        <w:gridCol w:w="1980"/>
        <w:gridCol w:w="7513"/>
      </w:tblGrid>
      <w:tr w:rsidR="00826791" w:rsidRPr="0044424A" w14:paraId="5C649551" w14:textId="77777777" w:rsidTr="009C7C73">
        <w:tc>
          <w:tcPr>
            <w:tcW w:w="9493" w:type="dxa"/>
            <w:gridSpan w:val="2"/>
            <w:shd w:val="clear" w:color="auto" w:fill="2F5496" w:themeFill="accent1" w:themeFillShade="BF"/>
          </w:tcPr>
          <w:p w14:paraId="4970FA82" w14:textId="0D376B19" w:rsidR="00826791" w:rsidRPr="0044424A" w:rsidRDefault="00826791" w:rsidP="00EB40DC">
            <w:pPr>
              <w:spacing w:line="276" w:lineRule="auto"/>
              <w:rPr>
                <w:rFonts w:eastAsia="Times New Roman" w:cstheme="minorHAnsi"/>
                <w:b/>
                <w:bCs/>
                <w:color w:val="FFFFFF" w:themeColor="background1"/>
                <w:lang w:val="ro-RO"/>
              </w:rPr>
            </w:pPr>
            <w:r w:rsidRPr="0044424A">
              <w:rPr>
                <w:rFonts w:eastAsia="Times New Roman" w:cstheme="minorHAnsi"/>
                <w:b/>
                <w:bCs/>
                <w:color w:val="FFFFFF" w:themeColor="background1"/>
                <w:lang w:val="ro-RO"/>
              </w:rPr>
              <w:t>RCO</w:t>
            </w:r>
            <w:r w:rsidR="0044424A" w:rsidRPr="0044424A">
              <w:rPr>
                <w:rFonts w:eastAsia="Times New Roman" w:cstheme="minorHAnsi"/>
                <w:b/>
                <w:bCs/>
                <w:color w:val="FFFFFF" w:themeColor="background1"/>
                <w:lang w:val="ro-RO"/>
              </w:rPr>
              <w:t>01</w:t>
            </w:r>
          </w:p>
          <w:p w14:paraId="0E473262" w14:textId="3E48AB7C" w:rsidR="00F0542D" w:rsidRPr="0044424A" w:rsidRDefault="0044424A" w:rsidP="0044424A">
            <w:pPr>
              <w:rPr>
                <w:rFonts w:ascii="Calibri" w:hAnsi="Calibri" w:cs="Calibri"/>
                <w:b/>
                <w:bCs/>
                <w:color w:val="00B050"/>
              </w:rPr>
            </w:pPr>
            <w:r w:rsidRPr="0044424A">
              <w:rPr>
                <w:rFonts w:eastAsia="Times New Roman" w:cstheme="minorHAnsi"/>
                <w:b/>
                <w:bCs/>
                <w:color w:val="FFFFFF" w:themeColor="background1"/>
                <w:lang w:val="ro-RO"/>
              </w:rPr>
              <w:t>Întreprinderi care beneficiază de sprijin (din care: micro, mici, medii, mari)</w:t>
            </w:r>
          </w:p>
        </w:tc>
      </w:tr>
      <w:tr w:rsidR="00826791" w:rsidRPr="0044424A" w14:paraId="502F1BC4" w14:textId="77777777" w:rsidTr="009C7C73">
        <w:tc>
          <w:tcPr>
            <w:tcW w:w="1980" w:type="dxa"/>
          </w:tcPr>
          <w:p w14:paraId="19C13BB7" w14:textId="7204CDBD" w:rsidR="00826791" w:rsidRPr="00605C6C" w:rsidRDefault="00826791" w:rsidP="00B210CB">
            <w:pPr>
              <w:spacing w:line="276" w:lineRule="auto"/>
              <w:rPr>
                <w:rFonts w:cstheme="minorHAnsi"/>
                <w:lang w:val="ro-RO"/>
              </w:rPr>
            </w:pPr>
            <w:r w:rsidRPr="00605C6C">
              <w:rPr>
                <w:rFonts w:cstheme="minorHAnsi"/>
                <w:lang w:val="ro-RO"/>
              </w:rPr>
              <w:t>Definiție/Descriere Indicator</w:t>
            </w:r>
          </w:p>
        </w:tc>
        <w:tc>
          <w:tcPr>
            <w:tcW w:w="7513" w:type="dxa"/>
            <w:vAlign w:val="center"/>
          </w:tcPr>
          <w:p w14:paraId="57E7AE4A" w14:textId="77777777" w:rsidR="0044424A" w:rsidRPr="0044424A" w:rsidRDefault="0044424A" w:rsidP="0044424A">
            <w:pPr>
              <w:spacing w:after="120" w:line="276" w:lineRule="auto"/>
              <w:jc w:val="both"/>
              <w:rPr>
                <w:rFonts w:eastAsia="Times New Roman" w:cstheme="minorHAnsi"/>
                <w:lang w:val="ro-RO"/>
              </w:rPr>
            </w:pPr>
            <w:r w:rsidRPr="0044424A">
              <w:rPr>
                <w:rFonts w:eastAsia="Times New Roman" w:cstheme="minorHAnsi"/>
                <w:lang w:val="ro-RO"/>
              </w:rPr>
              <w:t>Indicatorul numără toate întreprinderile care primesc sprijin monetar sau în natură din partea FEDR și FC.</w:t>
            </w:r>
          </w:p>
          <w:p w14:paraId="6E16237F" w14:textId="77777777" w:rsidR="0044424A" w:rsidRPr="0044424A" w:rsidRDefault="0044424A" w:rsidP="0044424A">
            <w:pPr>
              <w:spacing w:after="120" w:line="276" w:lineRule="auto"/>
              <w:jc w:val="both"/>
              <w:rPr>
                <w:rFonts w:eastAsia="Times New Roman" w:cstheme="minorHAnsi"/>
                <w:lang w:val="ro-RO"/>
              </w:rPr>
            </w:pPr>
            <w:r w:rsidRPr="0044424A">
              <w:rPr>
                <w:rFonts w:eastAsia="Times New Roman" w:cstheme="minorHAnsi"/>
                <w:lang w:val="ro-RO"/>
              </w:rPr>
              <w:t xml:space="preserve">Întreprinderea este cea mai mică combinație de unități juridice care reprezintă o unitate organizațională producătoare de bunuri și servicii, care beneficiază de un anumit grad de autonomie în luarea deciziilor, în special în ceea ce privește alocarea resurselor sale. O întreprindere desfășoară una sau mai multe activități, în una sau mai multe locații. O întreprindere poate fi o unitate juridică unică. Unitățile juridice includ persoanele juridice a căror existență este recunoscută prin lege, independent de persoanele fizice sau instituțiile care le dețin sau sunt membri ai acestora, cum ar fi societățile în nume colectiv, societățile cu răspundere limitată, societățile pe acțiuni, etc. Unitățile juridice includ și persoanele fizice care desfășoară o activitate economică în nume propriu, cum ar fi proprietarul și operatorul unui magazin sau al unui service, un avocat sau un meșteșugar care desfășoară o activitate independentă. </w:t>
            </w:r>
          </w:p>
          <w:p w14:paraId="625CBE70" w14:textId="77777777" w:rsidR="0044424A" w:rsidRPr="0044424A" w:rsidRDefault="0044424A" w:rsidP="0044424A">
            <w:pPr>
              <w:spacing w:after="120" w:line="276" w:lineRule="auto"/>
              <w:jc w:val="both"/>
              <w:rPr>
                <w:rFonts w:eastAsia="Times New Roman" w:cstheme="minorHAnsi"/>
                <w:lang w:val="ro-RO"/>
              </w:rPr>
            </w:pPr>
            <w:r w:rsidRPr="0044424A">
              <w:rPr>
                <w:rFonts w:eastAsia="Times New Roman" w:cstheme="minorHAnsi"/>
                <w:lang w:val="ro-RO"/>
              </w:rPr>
              <w:t xml:space="preserve">(ESTAT în referințe, pe baza Regulamentului (CEE) nr. 696/93 al Consiliului, secțiunea III A din 15.03.1993) </w:t>
            </w:r>
          </w:p>
          <w:p w14:paraId="1B02BFE8" w14:textId="77777777" w:rsidR="0044424A" w:rsidRPr="0044424A" w:rsidRDefault="0044424A" w:rsidP="0044424A">
            <w:pPr>
              <w:spacing w:after="120" w:line="276" w:lineRule="auto"/>
              <w:jc w:val="both"/>
              <w:rPr>
                <w:rFonts w:eastAsia="Times New Roman" w:cstheme="minorHAnsi"/>
                <w:lang w:val="ro-RO"/>
              </w:rPr>
            </w:pPr>
          </w:p>
          <w:p w14:paraId="5388EC5D" w14:textId="679F7A0F" w:rsidR="0044424A" w:rsidRPr="0044424A" w:rsidRDefault="0044424A" w:rsidP="0044424A">
            <w:pPr>
              <w:spacing w:after="120" w:line="276" w:lineRule="auto"/>
              <w:jc w:val="both"/>
              <w:rPr>
                <w:rFonts w:eastAsia="Times New Roman" w:cstheme="minorHAnsi"/>
                <w:lang w:val="ro-RO"/>
              </w:rPr>
            </w:pPr>
            <w:r w:rsidRPr="0044424A">
              <w:rPr>
                <w:rFonts w:eastAsia="Times New Roman" w:cstheme="minorHAnsi"/>
                <w:lang w:val="ro-RO"/>
              </w:rPr>
              <w:lastRenderedPageBreak/>
              <w:t>În scopul acestui indicator, întreprinderile sunt orientate spre profit organizații care produc bunuri și servicii pentru a satisface nevoile pieței.</w:t>
            </w:r>
          </w:p>
          <w:p w14:paraId="46E097C2" w14:textId="77777777" w:rsidR="0044424A" w:rsidRPr="0044424A" w:rsidRDefault="0044424A" w:rsidP="0044424A">
            <w:pPr>
              <w:spacing w:after="120" w:line="276" w:lineRule="auto"/>
              <w:jc w:val="both"/>
              <w:rPr>
                <w:rFonts w:eastAsia="Times New Roman" w:cstheme="minorHAnsi"/>
                <w:lang w:val="ro-RO"/>
              </w:rPr>
            </w:pPr>
          </w:p>
          <w:p w14:paraId="312ABD80" w14:textId="77777777" w:rsidR="0044424A" w:rsidRPr="0044424A" w:rsidRDefault="0044424A" w:rsidP="0044424A">
            <w:pPr>
              <w:spacing w:after="120" w:line="276" w:lineRule="auto"/>
              <w:jc w:val="both"/>
              <w:rPr>
                <w:rFonts w:eastAsia="Times New Roman" w:cstheme="minorHAnsi"/>
                <w:lang w:val="ro-RO"/>
              </w:rPr>
            </w:pPr>
            <w:r w:rsidRPr="0044424A">
              <w:rPr>
                <w:rFonts w:eastAsia="Times New Roman" w:cstheme="minorHAnsi"/>
                <w:lang w:val="ro-RO"/>
              </w:rPr>
              <w:t>Clasificarea întreprinderilor, în funcție de mărime:  Micro-întreprindere (&lt;= 10 angajați și cifra de afaceri anuală și/ sau bilanțul &lt;= 2 milioane Euro); Întreprindere mică (10-49 angajați și cifra de afaceri anuală și/ sau bilanțul &gt; 2 și &lt; = 10 milioane Euro); Întreprindere medie (50-249 angajați și cifra de afaceri anuală &gt; 10 milioane Euro și &lt;= 50 milioane Euro  sau bilanțul &gt; 10 milioane Euro și &lt;= 43 milioane Euro); Întreprindere mare (&gt;250 angajați și cifra de afaceri anuală &gt; 50 milioane Euro sau bilanțul &gt; 43 milioane Euro).</w:t>
            </w:r>
          </w:p>
          <w:p w14:paraId="4FB4B10A" w14:textId="77777777" w:rsidR="0044424A" w:rsidRPr="0044424A" w:rsidRDefault="0044424A" w:rsidP="0044424A">
            <w:pPr>
              <w:spacing w:after="120" w:line="276" w:lineRule="auto"/>
              <w:jc w:val="both"/>
              <w:rPr>
                <w:rFonts w:eastAsia="Times New Roman" w:cstheme="minorHAnsi"/>
                <w:lang w:val="ro-RO"/>
              </w:rPr>
            </w:pPr>
            <w:r w:rsidRPr="0044424A">
              <w:rPr>
                <w:rFonts w:eastAsia="Times New Roman" w:cstheme="minorHAnsi"/>
                <w:lang w:val="ro-RO"/>
              </w:rPr>
              <w:t>(ESTAT pe baza Recomandărilor CE 2003/361/EC, Anexa, Articolele 2-3)</w:t>
            </w:r>
          </w:p>
          <w:p w14:paraId="74753996" w14:textId="7B03ED89" w:rsidR="00826791" w:rsidRPr="00605C6C" w:rsidRDefault="0044424A" w:rsidP="0044424A">
            <w:pPr>
              <w:spacing w:after="120" w:line="276" w:lineRule="auto"/>
              <w:jc w:val="both"/>
              <w:rPr>
                <w:rFonts w:eastAsia="Times New Roman" w:cstheme="minorHAnsi"/>
                <w:lang w:val="ro-RO"/>
              </w:rPr>
            </w:pPr>
            <w:r w:rsidRPr="0044424A">
              <w:rPr>
                <w:rFonts w:eastAsia="Times New Roman" w:cstheme="minorHAnsi"/>
                <w:lang w:val="ro-RO"/>
              </w:rPr>
              <w:t>Mărimea întreprinderii sprijinite se măsoară la momentul depunerii cererii de fina</w:t>
            </w:r>
            <w:r w:rsidR="0084436A">
              <w:rPr>
                <w:rFonts w:eastAsia="Times New Roman" w:cstheme="minorHAnsi"/>
                <w:lang w:val="ro-RO"/>
              </w:rPr>
              <w:t>nț</w:t>
            </w:r>
            <w:r w:rsidRPr="0044424A">
              <w:rPr>
                <w:rFonts w:eastAsia="Times New Roman" w:cstheme="minorHAnsi"/>
                <w:lang w:val="ro-RO"/>
              </w:rPr>
              <w:t>are.</w:t>
            </w:r>
          </w:p>
        </w:tc>
      </w:tr>
      <w:tr w:rsidR="00826791" w:rsidRPr="00605C6C" w14:paraId="3D37E093" w14:textId="77777777" w:rsidTr="009C7C73">
        <w:tc>
          <w:tcPr>
            <w:tcW w:w="1980" w:type="dxa"/>
          </w:tcPr>
          <w:p w14:paraId="3A490ABE" w14:textId="7A9FCD84" w:rsidR="00826791" w:rsidRPr="00605C6C" w:rsidRDefault="00826791" w:rsidP="00B210CB">
            <w:pPr>
              <w:spacing w:line="276" w:lineRule="auto"/>
              <w:rPr>
                <w:rFonts w:cstheme="minorHAnsi"/>
                <w:lang w:val="ro-RO"/>
              </w:rPr>
            </w:pPr>
            <w:r w:rsidRPr="00605C6C">
              <w:rPr>
                <w:rFonts w:cstheme="minorHAnsi"/>
                <w:lang w:val="ro-RO"/>
              </w:rPr>
              <w:lastRenderedPageBreak/>
              <w:t>Unitatea de măsură</w:t>
            </w:r>
          </w:p>
        </w:tc>
        <w:tc>
          <w:tcPr>
            <w:tcW w:w="7513" w:type="dxa"/>
            <w:vAlign w:val="center"/>
          </w:tcPr>
          <w:p w14:paraId="1F2DDB04" w14:textId="0BD4F557" w:rsidR="00826791" w:rsidRPr="00F702E9" w:rsidRDefault="00B471B4" w:rsidP="00F702E9">
            <w:pPr>
              <w:jc w:val="both"/>
              <w:rPr>
                <w:rFonts w:ascii="Calibri" w:hAnsi="Calibri" w:cs="Calibri"/>
                <w:color w:val="000000"/>
              </w:rPr>
            </w:pPr>
            <w:r>
              <w:rPr>
                <w:rFonts w:ascii="Calibri" w:hAnsi="Calibri" w:cs="Calibri"/>
                <w:color w:val="000000"/>
              </w:rPr>
              <w:t xml:space="preserve">Nr. </w:t>
            </w:r>
            <w:proofErr w:type="spellStart"/>
            <w:r w:rsidR="00F702E9">
              <w:rPr>
                <w:rFonts w:ascii="Calibri" w:hAnsi="Calibri" w:cs="Calibri"/>
                <w:color w:val="000000"/>
              </w:rPr>
              <w:t>întreprinderi</w:t>
            </w:r>
            <w:proofErr w:type="spellEnd"/>
          </w:p>
        </w:tc>
      </w:tr>
      <w:tr w:rsidR="00826791" w:rsidRPr="00605C6C" w14:paraId="536205A9" w14:textId="77777777" w:rsidTr="009C7C73">
        <w:tc>
          <w:tcPr>
            <w:tcW w:w="1980" w:type="dxa"/>
          </w:tcPr>
          <w:p w14:paraId="021D8C8B" w14:textId="1A99B543" w:rsidR="00D46401" w:rsidRPr="00605C6C" w:rsidRDefault="00826791" w:rsidP="00B210CB">
            <w:pPr>
              <w:spacing w:line="276" w:lineRule="auto"/>
              <w:rPr>
                <w:rFonts w:cstheme="minorHAnsi"/>
                <w:lang w:val="ro-RO"/>
              </w:rPr>
            </w:pPr>
            <w:r w:rsidRPr="00605C6C">
              <w:rPr>
                <w:rFonts w:cstheme="minorHAnsi"/>
                <w:lang w:val="ro-RO"/>
              </w:rPr>
              <w:t>Valoarea țintă</w:t>
            </w:r>
          </w:p>
        </w:tc>
        <w:tc>
          <w:tcPr>
            <w:tcW w:w="7513" w:type="dxa"/>
            <w:vAlign w:val="center"/>
          </w:tcPr>
          <w:p w14:paraId="3DFAA393" w14:textId="3C502F5B" w:rsidR="00093B89" w:rsidRPr="00082328" w:rsidRDefault="00093B89" w:rsidP="00093B89">
            <w:pPr>
              <w:spacing w:line="276" w:lineRule="auto"/>
              <w:jc w:val="both"/>
              <w:rPr>
                <w:rFonts w:eastAsia="Times New Roman" w:cstheme="minorHAnsi"/>
              </w:rPr>
            </w:pPr>
            <w:r>
              <w:rPr>
                <w:rFonts w:cstheme="minorHAnsi"/>
                <w:color w:val="000000"/>
                <w:lang w:val="ro-RO"/>
              </w:rPr>
              <w:t>50</w:t>
            </w:r>
          </w:p>
        </w:tc>
      </w:tr>
      <w:tr w:rsidR="00826791" w:rsidRPr="001879CA" w14:paraId="4B347299" w14:textId="77777777" w:rsidTr="009C7C73">
        <w:trPr>
          <w:trHeight w:val="611"/>
        </w:trPr>
        <w:tc>
          <w:tcPr>
            <w:tcW w:w="1980" w:type="dxa"/>
          </w:tcPr>
          <w:p w14:paraId="727FF444" w14:textId="77777777" w:rsidR="00826791" w:rsidRPr="00605C6C" w:rsidRDefault="00826791" w:rsidP="00B210CB">
            <w:pPr>
              <w:spacing w:line="276" w:lineRule="auto"/>
              <w:rPr>
                <w:rFonts w:cstheme="minorHAnsi"/>
                <w:lang w:val="ro-RO"/>
              </w:rPr>
            </w:pPr>
            <w:r w:rsidRPr="00605C6C">
              <w:rPr>
                <w:rFonts w:cstheme="minorHAnsi"/>
                <w:lang w:val="ro-RO"/>
              </w:rPr>
              <w:t>Momentul îndeplinirii</w:t>
            </w:r>
          </w:p>
        </w:tc>
        <w:tc>
          <w:tcPr>
            <w:tcW w:w="7513" w:type="dxa"/>
            <w:vAlign w:val="center"/>
          </w:tcPr>
          <w:p w14:paraId="600B3AB1" w14:textId="3AA995CC" w:rsidR="00826791" w:rsidRPr="00605C6C" w:rsidRDefault="00B7096B" w:rsidP="00EB40DC">
            <w:pPr>
              <w:spacing w:line="276" w:lineRule="auto"/>
              <w:jc w:val="both"/>
              <w:rPr>
                <w:rFonts w:eastAsia="Times New Roman" w:cstheme="minorHAnsi"/>
                <w:lang w:val="ro-RO"/>
              </w:rPr>
            </w:pPr>
            <w:r w:rsidRPr="00605C6C">
              <w:rPr>
                <w:rFonts w:eastAsia="Times New Roman" w:cstheme="minorHAnsi"/>
                <w:lang w:val="ro-RO"/>
              </w:rPr>
              <w:t>Finalizarea perioadei de implementare conform Acordului de finanțare semnat</w:t>
            </w:r>
            <w:r w:rsidR="00F702E9">
              <w:rPr>
                <w:rFonts w:eastAsia="Times New Roman" w:cstheme="minorHAnsi"/>
                <w:lang w:val="ro-RO"/>
              </w:rPr>
              <w:t>.</w:t>
            </w:r>
          </w:p>
          <w:p w14:paraId="61E28A9A" w14:textId="77777777" w:rsidR="00F702E9" w:rsidRPr="00F702E9" w:rsidRDefault="00F702E9" w:rsidP="00F702E9">
            <w:pPr>
              <w:spacing w:line="276" w:lineRule="auto"/>
              <w:jc w:val="both"/>
              <w:rPr>
                <w:rFonts w:eastAsia="Times New Roman" w:cstheme="minorHAnsi"/>
                <w:lang w:val="ro-RO"/>
              </w:rPr>
            </w:pPr>
            <w:r w:rsidRPr="00F702E9">
              <w:rPr>
                <w:rFonts w:eastAsia="Times New Roman" w:cstheme="minorHAnsi"/>
                <w:lang w:val="ro-RO"/>
              </w:rPr>
              <w:t>Valoarea realizată reprezintă numărul de întreprinderi care beneficiază de sprijin.</w:t>
            </w:r>
          </w:p>
          <w:p w14:paraId="4AEC146E" w14:textId="77777777" w:rsidR="00F702E9" w:rsidRPr="00F702E9" w:rsidRDefault="00F702E9" w:rsidP="00F702E9">
            <w:pPr>
              <w:spacing w:line="276" w:lineRule="auto"/>
              <w:jc w:val="both"/>
              <w:rPr>
                <w:rFonts w:eastAsia="Times New Roman" w:cstheme="minorHAnsi"/>
                <w:lang w:val="ro-RO"/>
              </w:rPr>
            </w:pPr>
          </w:p>
          <w:p w14:paraId="5DD89BAC" w14:textId="0BAAC4BB" w:rsidR="00F702E9" w:rsidRDefault="00F702E9" w:rsidP="00F702E9">
            <w:pPr>
              <w:spacing w:line="276" w:lineRule="auto"/>
              <w:jc w:val="both"/>
              <w:rPr>
                <w:rFonts w:eastAsia="Times New Roman" w:cstheme="minorHAnsi"/>
                <w:lang w:val="ro-RO"/>
              </w:rPr>
            </w:pPr>
            <w:r w:rsidRPr="00F702E9">
              <w:rPr>
                <w:rFonts w:eastAsia="Times New Roman" w:cstheme="minorHAnsi"/>
                <w:lang w:val="ro-RO"/>
              </w:rPr>
              <w:t>Modul de calcul pentru valorile realizare depinde de forma de sprijin primit: instrumente financiare (a se vedea RCO03)</w:t>
            </w:r>
            <w:r>
              <w:rPr>
                <w:rFonts w:eastAsia="Times New Roman" w:cstheme="minorHAnsi"/>
                <w:lang w:val="ro-RO"/>
              </w:rPr>
              <w:t>.</w:t>
            </w:r>
          </w:p>
          <w:p w14:paraId="59D8FBE9" w14:textId="77777777" w:rsidR="00F702E9" w:rsidRPr="00F702E9" w:rsidRDefault="00F702E9" w:rsidP="00F702E9">
            <w:pPr>
              <w:spacing w:line="276" w:lineRule="auto"/>
              <w:jc w:val="both"/>
              <w:rPr>
                <w:rFonts w:eastAsia="Times New Roman" w:cstheme="minorHAnsi"/>
                <w:lang w:val="ro-RO"/>
              </w:rPr>
            </w:pPr>
          </w:p>
          <w:p w14:paraId="73AF0026" w14:textId="04552F80" w:rsidR="0038355F" w:rsidRDefault="00F702E9" w:rsidP="00F702E9">
            <w:pPr>
              <w:spacing w:line="276" w:lineRule="auto"/>
              <w:jc w:val="both"/>
              <w:rPr>
                <w:rFonts w:eastAsia="Times New Roman" w:cstheme="minorHAnsi"/>
                <w:lang w:val="ro-RO"/>
              </w:rPr>
            </w:pPr>
            <w:r w:rsidRPr="00F702E9">
              <w:rPr>
                <w:rFonts w:eastAsia="Times New Roman" w:cstheme="minorHAnsi"/>
                <w:lang w:val="ro-RO"/>
              </w:rPr>
              <w:t>Dovezile privind valorile realizate se vor colecta de la proiecte cf. regulilor aplicabile pt. RCO03</w:t>
            </w:r>
            <w:r w:rsidR="00305BD1">
              <w:rPr>
                <w:rFonts w:eastAsia="Times New Roman" w:cstheme="minorHAnsi"/>
                <w:lang w:val="ro-RO"/>
              </w:rPr>
              <w:t>.</w:t>
            </w:r>
          </w:p>
          <w:p w14:paraId="31CAC6AC" w14:textId="4964258D" w:rsidR="00BA2C1A" w:rsidRPr="00605C6C" w:rsidRDefault="00BA2C1A" w:rsidP="00EB40DC">
            <w:pPr>
              <w:spacing w:line="276" w:lineRule="auto"/>
              <w:jc w:val="both"/>
              <w:rPr>
                <w:rFonts w:eastAsia="Times New Roman" w:cstheme="minorHAnsi"/>
                <w:lang w:val="ro-RO"/>
              </w:rPr>
            </w:pPr>
            <w:r w:rsidRPr="00055553">
              <w:rPr>
                <w:rFonts w:eastAsia="Times New Roman" w:cstheme="minorHAnsi"/>
                <w:b/>
                <w:bCs/>
                <w:i/>
                <w:iCs/>
                <w:color w:val="4472C4" w:themeColor="accent1"/>
                <w:lang w:val="ro-RO"/>
              </w:rPr>
              <w:t>ATENȚIE!</w:t>
            </w:r>
            <w:r w:rsidRPr="00605C6C">
              <w:rPr>
                <w:rFonts w:eastAsia="Times New Roman" w:cstheme="minorHAnsi"/>
                <w:lang w:val="ro-RO"/>
              </w:rPr>
              <w:t xml:space="preserve"> </w:t>
            </w:r>
            <w:r w:rsidRPr="00055553">
              <w:rPr>
                <w:rFonts w:eastAsia="Times New Roman" w:cstheme="minorHAnsi"/>
                <w:i/>
                <w:iCs/>
                <w:lang w:val="ro-RO"/>
              </w:rPr>
              <w:t>Valoarea realizată coincide cu valoarea țintă din secțiunile referitoare la Indicatori din cererea de finanțare.</w:t>
            </w:r>
          </w:p>
        </w:tc>
      </w:tr>
      <w:tr w:rsidR="00826791" w:rsidRPr="00D902A7" w14:paraId="4B81F033" w14:textId="77777777" w:rsidTr="009C7C73">
        <w:tc>
          <w:tcPr>
            <w:tcW w:w="1980" w:type="dxa"/>
          </w:tcPr>
          <w:p w14:paraId="361D47AD" w14:textId="77777777" w:rsidR="00826791" w:rsidRPr="00605C6C" w:rsidRDefault="00826791" w:rsidP="00B210CB">
            <w:pPr>
              <w:spacing w:line="276" w:lineRule="auto"/>
              <w:rPr>
                <w:rFonts w:cstheme="minorHAnsi"/>
                <w:lang w:val="ro-RO"/>
              </w:rPr>
            </w:pPr>
            <w:r w:rsidRPr="00605C6C">
              <w:rPr>
                <w:rFonts w:cstheme="minorHAnsi"/>
                <w:lang w:val="ro-RO"/>
              </w:rPr>
              <w:t xml:space="preserve">Documente justificative privind îndeplinirea indicatorului </w:t>
            </w:r>
          </w:p>
        </w:tc>
        <w:tc>
          <w:tcPr>
            <w:tcW w:w="7513" w:type="dxa"/>
            <w:vAlign w:val="center"/>
          </w:tcPr>
          <w:p w14:paraId="1C538780" w14:textId="695DE695" w:rsidR="00BA2C1A" w:rsidRPr="00605C6C" w:rsidRDefault="0007165E" w:rsidP="00CD1AF8">
            <w:pPr>
              <w:spacing w:line="276" w:lineRule="auto"/>
              <w:jc w:val="both"/>
              <w:rPr>
                <w:rFonts w:cstheme="minorHAnsi"/>
                <w:lang w:val="ro-RO"/>
              </w:rPr>
            </w:pPr>
            <w:r>
              <w:rPr>
                <w:rFonts w:cstheme="minorHAnsi"/>
                <w:lang w:val="ro-RO"/>
              </w:rPr>
              <w:t>Contracte de finan</w:t>
            </w:r>
            <w:r w:rsidR="0084436A">
              <w:rPr>
                <w:rFonts w:cstheme="minorHAnsi"/>
                <w:lang w:val="ro-RO"/>
              </w:rPr>
              <w:t>ț</w:t>
            </w:r>
            <w:r>
              <w:rPr>
                <w:rFonts w:cstheme="minorHAnsi"/>
                <w:lang w:val="ro-RO"/>
              </w:rPr>
              <w:t xml:space="preserve">are </w:t>
            </w:r>
            <w:r w:rsidR="0084436A">
              <w:rPr>
                <w:rFonts w:cstheme="minorHAnsi"/>
                <w:lang w:val="ro-RO"/>
              </w:rPr>
              <w:t>î</w:t>
            </w:r>
            <w:r>
              <w:rPr>
                <w:rFonts w:cstheme="minorHAnsi"/>
                <w:lang w:val="ro-RO"/>
              </w:rPr>
              <w:t>ncheiate cu beneficiarii finali</w:t>
            </w:r>
            <w:r w:rsidR="0084436A">
              <w:rPr>
                <w:rFonts w:cstheme="minorHAnsi"/>
                <w:lang w:val="ro-RO"/>
              </w:rPr>
              <w:t>.</w:t>
            </w:r>
          </w:p>
        </w:tc>
      </w:tr>
      <w:tr w:rsidR="00826791" w:rsidRPr="00D902A7" w14:paraId="68B9A533" w14:textId="77777777" w:rsidTr="009C7C73">
        <w:tc>
          <w:tcPr>
            <w:tcW w:w="1980" w:type="dxa"/>
          </w:tcPr>
          <w:p w14:paraId="52E89EEE" w14:textId="77777777" w:rsidR="00826791" w:rsidRPr="00605C6C" w:rsidRDefault="00826791" w:rsidP="00B210CB">
            <w:pPr>
              <w:spacing w:line="276" w:lineRule="auto"/>
              <w:rPr>
                <w:rFonts w:cstheme="minorHAnsi"/>
                <w:lang w:val="ro-RO"/>
              </w:rPr>
            </w:pPr>
            <w:r w:rsidRPr="00605C6C">
              <w:rPr>
                <w:rFonts w:cstheme="minorHAnsi"/>
                <w:lang w:val="ro-RO"/>
              </w:rPr>
              <w:t>Metoda de calcul</w:t>
            </w:r>
          </w:p>
        </w:tc>
        <w:tc>
          <w:tcPr>
            <w:tcW w:w="7513" w:type="dxa"/>
            <w:vAlign w:val="center"/>
          </w:tcPr>
          <w:p w14:paraId="55372D41" w14:textId="77777777" w:rsidR="0007165E" w:rsidRPr="00CD1AF8" w:rsidRDefault="0007165E" w:rsidP="0007165E">
            <w:pPr>
              <w:spacing w:line="276" w:lineRule="auto"/>
              <w:jc w:val="both"/>
              <w:rPr>
                <w:rFonts w:cstheme="minorHAnsi"/>
                <w:lang w:val="ro-RO"/>
              </w:rPr>
            </w:pPr>
            <w:r w:rsidRPr="00CD1AF8">
              <w:rPr>
                <w:rFonts w:cstheme="minorHAnsi"/>
                <w:lang w:val="ro-RO"/>
              </w:rPr>
              <w:t>Se calculează numărul</w:t>
            </w:r>
            <w:r>
              <w:rPr>
                <w:rFonts w:cstheme="minorHAnsi"/>
                <w:lang w:val="ro-RO"/>
              </w:rPr>
              <w:t xml:space="preserve"> </w:t>
            </w:r>
            <w:r w:rsidRPr="00CD1AF8">
              <w:rPr>
                <w:rFonts w:cstheme="minorHAnsi"/>
                <w:lang w:val="ro-RO"/>
              </w:rPr>
              <w:t>de valori unice pentru CUI-uri cu valoare realizată, pe tip de întreprindere (micro, mică, medie, mare) la nivel de obiectiv specific în cadrul priorității</w:t>
            </w:r>
          </w:p>
          <w:p w14:paraId="4125F876" w14:textId="65EBAF7A" w:rsidR="000C4004" w:rsidRPr="00605C6C" w:rsidRDefault="0007165E" w:rsidP="00EB40DC">
            <w:pPr>
              <w:spacing w:line="276" w:lineRule="auto"/>
              <w:jc w:val="both"/>
              <w:rPr>
                <w:rFonts w:cstheme="minorHAnsi"/>
                <w:lang w:val="ro-RO"/>
              </w:rPr>
            </w:pPr>
            <w:r w:rsidRPr="00CD1AF8">
              <w:rPr>
                <w:rFonts w:cstheme="minorHAnsi"/>
                <w:lang w:val="ro-RO"/>
              </w:rPr>
              <w:t>Pentru calculul acestei valori sunt considerate numai proiectele puse în aplicare pentru toate formele de sprijin la nivel de obiectiv specific în cadrul pr</w:t>
            </w:r>
            <w:r>
              <w:rPr>
                <w:rFonts w:cstheme="minorHAnsi"/>
                <w:lang w:val="ro-RO"/>
              </w:rPr>
              <w:t>i</w:t>
            </w:r>
            <w:r w:rsidRPr="00CD1AF8">
              <w:rPr>
                <w:rFonts w:cstheme="minorHAnsi"/>
                <w:lang w:val="ro-RO"/>
              </w:rPr>
              <w:t>orității.</w:t>
            </w:r>
          </w:p>
        </w:tc>
      </w:tr>
      <w:tr w:rsidR="00D179FF" w:rsidRPr="00CD1AF8" w14:paraId="7A4FE0BB" w14:textId="77777777" w:rsidTr="00D179FF">
        <w:tc>
          <w:tcPr>
            <w:tcW w:w="9493" w:type="dxa"/>
            <w:gridSpan w:val="2"/>
            <w:shd w:val="clear" w:color="auto" w:fill="1F4E79" w:themeFill="accent5" w:themeFillShade="80"/>
          </w:tcPr>
          <w:p w14:paraId="6A6FAB76" w14:textId="441B7253" w:rsidR="00D179FF" w:rsidRPr="00D179FF" w:rsidRDefault="00D179FF" w:rsidP="00D179FF">
            <w:pPr>
              <w:spacing w:line="276" w:lineRule="auto"/>
              <w:rPr>
                <w:rFonts w:eastAsia="Times New Roman" w:cstheme="minorHAnsi"/>
                <w:b/>
                <w:bCs/>
                <w:color w:val="FFFFFF" w:themeColor="background1"/>
                <w:lang w:val="ro-RO"/>
              </w:rPr>
            </w:pPr>
            <w:r w:rsidRPr="00D179FF">
              <w:rPr>
                <w:rFonts w:eastAsia="Times New Roman" w:cstheme="minorHAnsi"/>
                <w:b/>
                <w:bCs/>
                <w:color w:val="FFFFFF" w:themeColor="background1"/>
                <w:lang w:val="ro-RO"/>
              </w:rPr>
              <w:t xml:space="preserve">RCO03 </w:t>
            </w:r>
          </w:p>
          <w:p w14:paraId="677478EC" w14:textId="1A740CE1" w:rsidR="00D179FF" w:rsidRPr="00D179FF" w:rsidRDefault="00D179FF" w:rsidP="00D179FF">
            <w:pPr>
              <w:spacing w:line="276" w:lineRule="auto"/>
              <w:rPr>
                <w:rFonts w:eastAsia="Times New Roman" w:cstheme="minorHAnsi"/>
                <w:b/>
                <w:bCs/>
                <w:color w:val="FFFFFF" w:themeColor="background1"/>
                <w:lang w:val="ro-RO"/>
              </w:rPr>
            </w:pPr>
            <w:r w:rsidRPr="00D179FF">
              <w:rPr>
                <w:rFonts w:eastAsia="Times New Roman" w:cstheme="minorHAnsi"/>
                <w:b/>
                <w:bCs/>
                <w:color w:val="FFFFFF" w:themeColor="background1"/>
                <w:lang w:val="ro-RO"/>
              </w:rPr>
              <w:t>Întreprinderi care beneficiază de sprijin prin instrumente financiare</w:t>
            </w:r>
          </w:p>
        </w:tc>
      </w:tr>
      <w:tr w:rsidR="00D179FF" w:rsidRPr="00D902A7" w14:paraId="655F3DDF" w14:textId="77777777" w:rsidTr="009C7C73">
        <w:tc>
          <w:tcPr>
            <w:tcW w:w="1980" w:type="dxa"/>
          </w:tcPr>
          <w:p w14:paraId="0156BFC8" w14:textId="48FD0560" w:rsidR="00D179FF" w:rsidRPr="00605C6C" w:rsidRDefault="0061693C" w:rsidP="00B210CB">
            <w:pPr>
              <w:spacing w:line="276" w:lineRule="auto"/>
              <w:rPr>
                <w:rFonts w:cstheme="minorHAnsi"/>
                <w:lang w:val="ro-RO"/>
              </w:rPr>
            </w:pPr>
            <w:r w:rsidRPr="00605C6C">
              <w:rPr>
                <w:rFonts w:cstheme="minorHAnsi"/>
                <w:lang w:val="ro-RO"/>
              </w:rPr>
              <w:t>Definiție/Descriere Indicator</w:t>
            </w:r>
          </w:p>
        </w:tc>
        <w:tc>
          <w:tcPr>
            <w:tcW w:w="7513" w:type="dxa"/>
            <w:vAlign w:val="center"/>
          </w:tcPr>
          <w:p w14:paraId="7490297A" w14:textId="19A56DA1" w:rsidR="001B7F2A" w:rsidRPr="001B7F2A" w:rsidRDefault="001B7F2A" w:rsidP="001B7F2A">
            <w:pPr>
              <w:rPr>
                <w:rFonts w:cstheme="minorHAnsi"/>
                <w:lang w:val="ro-RO"/>
              </w:rPr>
            </w:pPr>
            <w:r w:rsidRPr="001B7F2A">
              <w:rPr>
                <w:rFonts w:cstheme="minorHAnsi"/>
                <w:lang w:val="ro-RO"/>
              </w:rPr>
              <w:t xml:space="preserve">Numărul de întreprinderi care beneficiază de sprijin sub formă de împrumuturi, subvenții la dobândă, garanții de credit, capital de risc sau alte instrumente financiare. </w:t>
            </w:r>
            <w:r w:rsidRPr="001B7F2A">
              <w:rPr>
                <w:rFonts w:cstheme="minorHAnsi"/>
                <w:lang w:val="ro-RO"/>
              </w:rPr>
              <w:br/>
            </w:r>
            <w:r w:rsidRPr="001B7F2A">
              <w:rPr>
                <w:rFonts w:cstheme="minorHAnsi"/>
                <w:lang w:val="ro-RO"/>
              </w:rPr>
              <w:lastRenderedPageBreak/>
              <w:t>În acest context, instrumentele financiare includ cvasi-capital, capitaluri proprii, garanții și împrumuturi, astfel cum sunt definite în Regulamentul UE 2018/1046, art.</w:t>
            </w:r>
            <w:r>
              <w:rPr>
                <w:rFonts w:cstheme="minorHAnsi"/>
                <w:lang w:val="ro-RO"/>
              </w:rPr>
              <w:t xml:space="preserve"> </w:t>
            </w:r>
            <w:r w:rsidRPr="001B7F2A">
              <w:rPr>
                <w:rFonts w:cstheme="minorHAnsi"/>
                <w:lang w:val="ro-RO"/>
              </w:rPr>
              <w:t xml:space="preserve">1, alin. 2: </w:t>
            </w:r>
            <w:r w:rsidRPr="001B7F2A">
              <w:rPr>
                <w:rFonts w:cstheme="minorHAnsi"/>
                <w:lang w:val="ro-RO"/>
              </w:rPr>
              <w:br/>
              <w:t xml:space="preserve">(52) "investiție de cvasi-capital" înseamnă un tip de finanțare care se situează între capitaluri proprii și datorii, având un risc mai mare decât datoriile de rang superior și un risc mai mic decât capitalurile proprii obișnuite și care poate fi structurat ca datorie, de obicei negarantată și subordonată și, în unele cazuri, convertibilă în capitaluri proprii sau în capitaluri proprii preferențiale; </w:t>
            </w:r>
            <w:r w:rsidRPr="001B7F2A">
              <w:rPr>
                <w:rFonts w:cstheme="minorHAnsi"/>
                <w:lang w:val="ro-RO"/>
              </w:rPr>
              <w:br/>
              <w:t xml:space="preserve">(25) "investiție în capitaluri proprii" înseamnă furnizarea de capital unei societăți, investit direct sau indirect în schimbul unei participații totale sau parțiale în respectiva societate și în care investitorul în capitaluri proprii își poate asuma un anumit control de gestionare a societății și poate participa la profiturile societății; </w:t>
            </w:r>
            <w:r w:rsidRPr="001B7F2A">
              <w:rPr>
                <w:rFonts w:cstheme="minorHAnsi"/>
                <w:lang w:val="ro-RO"/>
              </w:rPr>
              <w:br/>
              <w:t xml:space="preserve">(34) "garanție" înseamnă un angajament scris de asumare a responsabilității pentru întreaga sau o parte a datoriei sau a obligației unui terț sau pentru îndeplinirea cu succes de către acel terț a obligațiilor sale, în cazul în care se produce un eveniment care declanșează o astfel de garanție, cum ar fi neplata unui împrumut; </w:t>
            </w:r>
            <w:r w:rsidRPr="001B7F2A">
              <w:rPr>
                <w:rFonts w:cstheme="minorHAnsi"/>
                <w:lang w:val="ro-RO"/>
              </w:rPr>
              <w:br/>
              <w:t xml:space="preserve">(40) "împrumut" înseamnă un acord care obligă creditorul să pună la dispoziția împrumutatului o sumă de bani convenită pentru o perioadă convenită și în temeiul căruia împrumutatul este obligat să ramburseze suma respectivă în perioada convenită; </w:t>
            </w:r>
            <w:r w:rsidRPr="001B7F2A">
              <w:rPr>
                <w:rFonts w:cstheme="minorHAnsi"/>
                <w:lang w:val="ro-RO"/>
              </w:rPr>
              <w:br/>
              <w:t xml:space="preserve">Pentru definiția unei întreprinderi a se vedea RCO01. </w:t>
            </w:r>
          </w:p>
          <w:p w14:paraId="7807FC19" w14:textId="77777777" w:rsidR="00D179FF" w:rsidRDefault="00D179FF" w:rsidP="001B7F2A">
            <w:pPr>
              <w:spacing w:line="276" w:lineRule="auto"/>
              <w:rPr>
                <w:rFonts w:cstheme="minorHAnsi"/>
                <w:lang w:val="ro-RO"/>
              </w:rPr>
            </w:pPr>
          </w:p>
        </w:tc>
      </w:tr>
      <w:tr w:rsidR="00D179FF" w:rsidRPr="00CD1AF8" w14:paraId="43BD0A29" w14:textId="77777777" w:rsidTr="009C7C73">
        <w:tc>
          <w:tcPr>
            <w:tcW w:w="1980" w:type="dxa"/>
          </w:tcPr>
          <w:p w14:paraId="45055AE5" w14:textId="652C03D6" w:rsidR="00D179FF" w:rsidRPr="00605C6C" w:rsidRDefault="0061693C" w:rsidP="00B210CB">
            <w:pPr>
              <w:spacing w:line="276" w:lineRule="auto"/>
              <w:rPr>
                <w:rFonts w:cstheme="minorHAnsi"/>
                <w:lang w:val="ro-RO"/>
              </w:rPr>
            </w:pPr>
            <w:r w:rsidRPr="00605C6C">
              <w:rPr>
                <w:rFonts w:cstheme="minorHAnsi"/>
                <w:lang w:val="ro-RO"/>
              </w:rPr>
              <w:lastRenderedPageBreak/>
              <w:t>Unitatea de măsură</w:t>
            </w:r>
          </w:p>
        </w:tc>
        <w:tc>
          <w:tcPr>
            <w:tcW w:w="7513" w:type="dxa"/>
            <w:vAlign w:val="center"/>
          </w:tcPr>
          <w:p w14:paraId="797CCC78" w14:textId="6C9A9ED0" w:rsidR="00D179FF" w:rsidRDefault="00CC21CE" w:rsidP="001B7F2A">
            <w:pPr>
              <w:jc w:val="both"/>
              <w:rPr>
                <w:rFonts w:cstheme="minorHAnsi"/>
                <w:lang w:val="ro-RO"/>
              </w:rPr>
            </w:pPr>
            <w:r>
              <w:rPr>
                <w:rFonts w:cstheme="minorHAnsi"/>
                <w:lang w:val="ro-RO"/>
              </w:rPr>
              <w:t xml:space="preserve">Nr. </w:t>
            </w:r>
            <w:r w:rsidR="001B7F2A" w:rsidRPr="001B7F2A">
              <w:rPr>
                <w:rFonts w:cstheme="minorHAnsi"/>
                <w:lang w:val="ro-RO"/>
              </w:rPr>
              <w:t>întreprinderi</w:t>
            </w:r>
          </w:p>
        </w:tc>
      </w:tr>
      <w:tr w:rsidR="00D179FF" w:rsidRPr="00CD1AF8" w14:paraId="777CF321" w14:textId="77777777" w:rsidTr="009C7C73">
        <w:tc>
          <w:tcPr>
            <w:tcW w:w="1980" w:type="dxa"/>
          </w:tcPr>
          <w:p w14:paraId="269F7793" w14:textId="0355343C" w:rsidR="00D179FF" w:rsidRPr="00605C6C" w:rsidRDefault="0061693C" w:rsidP="00B210CB">
            <w:pPr>
              <w:spacing w:line="276" w:lineRule="auto"/>
              <w:rPr>
                <w:rFonts w:cstheme="minorHAnsi"/>
                <w:lang w:val="ro-RO"/>
              </w:rPr>
            </w:pPr>
            <w:r w:rsidRPr="00605C6C">
              <w:rPr>
                <w:rFonts w:cstheme="minorHAnsi"/>
                <w:lang w:val="ro-RO"/>
              </w:rPr>
              <w:t>Valoarea țintă</w:t>
            </w:r>
          </w:p>
        </w:tc>
        <w:tc>
          <w:tcPr>
            <w:tcW w:w="7513" w:type="dxa"/>
            <w:vAlign w:val="center"/>
          </w:tcPr>
          <w:p w14:paraId="4EBB035D" w14:textId="0CD0AB81" w:rsidR="00093B89" w:rsidRDefault="00093B89" w:rsidP="00093B89">
            <w:pPr>
              <w:spacing w:line="276" w:lineRule="auto"/>
              <w:jc w:val="both"/>
              <w:rPr>
                <w:rFonts w:cstheme="minorHAnsi"/>
                <w:lang w:val="ro-RO"/>
              </w:rPr>
            </w:pPr>
            <w:r>
              <w:rPr>
                <w:rFonts w:cstheme="minorHAnsi"/>
                <w:lang w:val="ro-RO"/>
              </w:rPr>
              <w:t>50</w:t>
            </w:r>
          </w:p>
        </w:tc>
      </w:tr>
      <w:tr w:rsidR="00D179FF" w:rsidRPr="00CD1AF8" w14:paraId="5BA44739" w14:textId="77777777" w:rsidTr="009C7C73">
        <w:tc>
          <w:tcPr>
            <w:tcW w:w="1980" w:type="dxa"/>
          </w:tcPr>
          <w:p w14:paraId="0D9EE0AF" w14:textId="34A5F5A9" w:rsidR="00D179FF" w:rsidRPr="00605C6C" w:rsidRDefault="0061693C" w:rsidP="00B210CB">
            <w:pPr>
              <w:spacing w:line="276" w:lineRule="auto"/>
              <w:rPr>
                <w:rFonts w:cstheme="minorHAnsi"/>
                <w:lang w:val="ro-RO"/>
              </w:rPr>
            </w:pPr>
            <w:r w:rsidRPr="00605C6C">
              <w:rPr>
                <w:rFonts w:cstheme="minorHAnsi"/>
                <w:lang w:val="ro-RO"/>
              </w:rPr>
              <w:t>Momentul îndeplinirii</w:t>
            </w:r>
          </w:p>
        </w:tc>
        <w:tc>
          <w:tcPr>
            <w:tcW w:w="7513" w:type="dxa"/>
            <w:vAlign w:val="center"/>
          </w:tcPr>
          <w:p w14:paraId="231E475C" w14:textId="2FD89B24" w:rsidR="00D179FF" w:rsidRDefault="001B7F2A" w:rsidP="00EB40DC">
            <w:pPr>
              <w:spacing w:line="276" w:lineRule="auto"/>
              <w:jc w:val="both"/>
              <w:rPr>
                <w:rFonts w:cstheme="minorHAnsi"/>
                <w:lang w:val="ro-RO"/>
              </w:rPr>
            </w:pPr>
            <w:r w:rsidRPr="001B7F2A">
              <w:rPr>
                <w:rFonts w:cstheme="minorHAnsi"/>
                <w:lang w:val="ro-RO"/>
              </w:rPr>
              <w:t>Pentru împrumuturi, prima tranșă de împrumut acordată de bancă beneficiarului final.</w:t>
            </w:r>
          </w:p>
        </w:tc>
      </w:tr>
      <w:tr w:rsidR="00D179FF" w:rsidRPr="00D902A7" w14:paraId="11FB12C8" w14:textId="77777777" w:rsidTr="009C7C73">
        <w:tc>
          <w:tcPr>
            <w:tcW w:w="1980" w:type="dxa"/>
          </w:tcPr>
          <w:p w14:paraId="65718144" w14:textId="6057D49F" w:rsidR="00D179FF" w:rsidRPr="00605C6C" w:rsidRDefault="0061693C" w:rsidP="00B210CB">
            <w:pPr>
              <w:spacing w:line="276" w:lineRule="auto"/>
              <w:rPr>
                <w:rFonts w:cstheme="minorHAnsi"/>
                <w:lang w:val="ro-RO"/>
              </w:rPr>
            </w:pPr>
            <w:r w:rsidRPr="00605C6C">
              <w:rPr>
                <w:rFonts w:cstheme="minorHAnsi"/>
                <w:lang w:val="ro-RO"/>
              </w:rPr>
              <w:t>Documente justificative privind îndeplinirea indicatorului</w:t>
            </w:r>
          </w:p>
        </w:tc>
        <w:tc>
          <w:tcPr>
            <w:tcW w:w="7513" w:type="dxa"/>
            <w:vAlign w:val="center"/>
          </w:tcPr>
          <w:p w14:paraId="4E78F926" w14:textId="5774E3B3" w:rsidR="00D179FF" w:rsidRDefault="001B7F2A" w:rsidP="00EB40DC">
            <w:pPr>
              <w:spacing w:line="276" w:lineRule="auto"/>
              <w:jc w:val="both"/>
              <w:rPr>
                <w:rFonts w:cstheme="minorHAnsi"/>
                <w:lang w:val="ro-RO"/>
              </w:rPr>
            </w:pPr>
            <w:r>
              <w:rPr>
                <w:rFonts w:cstheme="minorHAnsi"/>
                <w:lang w:val="ro-RO"/>
              </w:rPr>
              <w:t>P</w:t>
            </w:r>
            <w:r w:rsidRPr="001B7F2A">
              <w:rPr>
                <w:rFonts w:cstheme="minorHAnsi"/>
                <w:lang w:val="ro-RO"/>
              </w:rPr>
              <w:t>entru valoarea realizată raportată pentru o întreprindere includ: document bancar care atestă acordarea primei tranșe a împrumutului, document care atestă realizarea investiției în capitaluri proprii pentru beneficiarul final etc.</w:t>
            </w:r>
          </w:p>
        </w:tc>
      </w:tr>
      <w:tr w:rsidR="00D179FF" w:rsidRPr="00D902A7" w14:paraId="1D05F91F" w14:textId="77777777" w:rsidTr="009C7C73">
        <w:tc>
          <w:tcPr>
            <w:tcW w:w="1980" w:type="dxa"/>
          </w:tcPr>
          <w:p w14:paraId="2AB7F7E5" w14:textId="7C2EE509" w:rsidR="00D179FF" w:rsidRPr="00605C6C" w:rsidRDefault="0061693C" w:rsidP="00B210CB">
            <w:pPr>
              <w:spacing w:line="276" w:lineRule="auto"/>
              <w:rPr>
                <w:rFonts w:cstheme="minorHAnsi"/>
                <w:lang w:val="ro-RO"/>
              </w:rPr>
            </w:pPr>
            <w:r w:rsidRPr="00605C6C">
              <w:rPr>
                <w:rFonts w:cstheme="minorHAnsi"/>
                <w:lang w:val="ro-RO"/>
              </w:rPr>
              <w:t>Metoda de calcul</w:t>
            </w:r>
          </w:p>
        </w:tc>
        <w:tc>
          <w:tcPr>
            <w:tcW w:w="7513" w:type="dxa"/>
            <w:vAlign w:val="center"/>
          </w:tcPr>
          <w:p w14:paraId="31ED1F79" w14:textId="4FD4712B" w:rsidR="001B7F2A" w:rsidRPr="001B7F2A" w:rsidRDefault="001B7F2A" w:rsidP="001B7F2A">
            <w:pPr>
              <w:spacing w:line="276" w:lineRule="auto"/>
              <w:jc w:val="both"/>
              <w:rPr>
                <w:rFonts w:cstheme="minorHAnsi"/>
                <w:lang w:val="ro-RO"/>
              </w:rPr>
            </w:pPr>
            <w:r w:rsidRPr="001B7F2A">
              <w:rPr>
                <w:rFonts w:cstheme="minorHAnsi"/>
                <w:lang w:val="ro-RO"/>
              </w:rPr>
              <w:t>Valoarea realizată cumulată din proiectele puse în aplicare calculată astfel:</w:t>
            </w:r>
          </w:p>
          <w:p w14:paraId="70DD4370" w14:textId="77777777" w:rsidR="001B7F2A" w:rsidRPr="001B7F2A" w:rsidRDefault="001B7F2A" w:rsidP="001B7F2A">
            <w:pPr>
              <w:spacing w:line="276" w:lineRule="auto"/>
              <w:jc w:val="both"/>
              <w:rPr>
                <w:rFonts w:cstheme="minorHAnsi"/>
                <w:lang w:val="ro-RO"/>
              </w:rPr>
            </w:pPr>
            <w:r w:rsidRPr="001B7F2A">
              <w:rPr>
                <w:rFonts w:cstheme="minorHAnsi"/>
                <w:lang w:val="ro-RO"/>
              </w:rPr>
              <w:t>- numărul valori unice pentru CUI-urile IMM-urilor sprijinite în proiectele puse în aplicare</w:t>
            </w:r>
          </w:p>
          <w:p w14:paraId="737121C3" w14:textId="77777777" w:rsidR="001B7F2A" w:rsidRPr="001B7F2A" w:rsidRDefault="001B7F2A" w:rsidP="001B7F2A">
            <w:pPr>
              <w:spacing w:line="276" w:lineRule="auto"/>
              <w:jc w:val="both"/>
              <w:rPr>
                <w:rFonts w:cstheme="minorHAnsi"/>
                <w:lang w:val="ro-RO"/>
              </w:rPr>
            </w:pPr>
            <w:r w:rsidRPr="001B7F2A">
              <w:rPr>
                <w:rFonts w:cstheme="minorHAnsi"/>
                <w:lang w:val="ro-RO"/>
              </w:rPr>
              <w:t xml:space="preserve">Numărul se calculează pentru toate proiectele puse în aplicare. </w:t>
            </w:r>
          </w:p>
          <w:p w14:paraId="56291C44" w14:textId="77777777" w:rsidR="001B7F2A" w:rsidRPr="001B7F2A" w:rsidRDefault="001B7F2A" w:rsidP="001B7F2A">
            <w:pPr>
              <w:spacing w:line="276" w:lineRule="auto"/>
              <w:jc w:val="both"/>
              <w:rPr>
                <w:rFonts w:cstheme="minorHAnsi"/>
                <w:lang w:val="ro-RO"/>
              </w:rPr>
            </w:pPr>
          </w:p>
          <w:p w14:paraId="022E423C" w14:textId="2C56790A" w:rsidR="001B7F2A" w:rsidRPr="001B7F2A" w:rsidRDefault="001B7F2A" w:rsidP="001B7F2A">
            <w:pPr>
              <w:spacing w:line="276" w:lineRule="auto"/>
              <w:jc w:val="both"/>
              <w:rPr>
                <w:rFonts w:cstheme="minorHAnsi"/>
                <w:lang w:val="ro-RO"/>
              </w:rPr>
            </w:pPr>
            <w:r w:rsidRPr="001B7F2A">
              <w:rPr>
                <w:rFonts w:cstheme="minorHAnsi"/>
                <w:lang w:val="ro-RO"/>
              </w:rPr>
              <w:t xml:space="preserve">Proiectele puse în aplicare sunt proiectele pentru care beneficiarul raportează valoarea realizată. </w:t>
            </w:r>
          </w:p>
          <w:p w14:paraId="43AFAFFE" w14:textId="77777777" w:rsidR="001B7F2A" w:rsidRPr="001B7F2A" w:rsidRDefault="001B7F2A" w:rsidP="001B7F2A">
            <w:pPr>
              <w:spacing w:line="276" w:lineRule="auto"/>
              <w:jc w:val="both"/>
              <w:rPr>
                <w:rFonts w:cstheme="minorHAnsi"/>
                <w:lang w:val="ro-RO"/>
              </w:rPr>
            </w:pPr>
          </w:p>
          <w:p w14:paraId="6EADCFB3" w14:textId="45FF85F5" w:rsidR="00D179FF" w:rsidRDefault="001B7F2A" w:rsidP="001B7F2A">
            <w:pPr>
              <w:spacing w:line="276" w:lineRule="auto"/>
              <w:jc w:val="both"/>
              <w:rPr>
                <w:rFonts w:cstheme="minorHAnsi"/>
                <w:lang w:val="ro-RO"/>
              </w:rPr>
            </w:pPr>
            <w:r w:rsidRPr="001B7F2A">
              <w:rPr>
                <w:rFonts w:cstheme="minorHAnsi"/>
                <w:lang w:val="ro-RO"/>
              </w:rPr>
              <w:t>Toate valorile sunt calculate la nivel de obiectiv specific în cadrul priorității.</w:t>
            </w:r>
          </w:p>
        </w:tc>
      </w:tr>
    </w:tbl>
    <w:p w14:paraId="1063F265" w14:textId="77777777" w:rsidR="006F6C3B" w:rsidRPr="00605C6C" w:rsidRDefault="006F6C3B" w:rsidP="00EB40DC">
      <w:pPr>
        <w:spacing w:after="0" w:line="276" w:lineRule="auto"/>
        <w:rPr>
          <w:rFonts w:cstheme="minorHAnsi"/>
          <w:b/>
          <w:bCs/>
          <w:color w:val="2F5496" w:themeColor="accent1" w:themeShade="BF"/>
          <w:lang w:val="ro-RO"/>
        </w:rPr>
      </w:pPr>
    </w:p>
    <w:p w14:paraId="655C10D6" w14:textId="62DB28B3" w:rsidR="00EB40DC" w:rsidRDefault="00EB40DC" w:rsidP="00EB40DC">
      <w:pPr>
        <w:spacing w:after="0" w:line="276" w:lineRule="auto"/>
        <w:rPr>
          <w:rFonts w:cstheme="minorHAnsi"/>
          <w:b/>
          <w:bCs/>
          <w:color w:val="2F5496" w:themeColor="accent1" w:themeShade="BF"/>
          <w:lang w:val="ro-RO"/>
        </w:rPr>
      </w:pPr>
    </w:p>
    <w:p w14:paraId="0CB534CB" w14:textId="77777777" w:rsidR="00093B89" w:rsidRPr="00605C6C" w:rsidRDefault="00093B89" w:rsidP="00EB40DC">
      <w:pPr>
        <w:spacing w:after="0" w:line="276" w:lineRule="auto"/>
        <w:rPr>
          <w:rFonts w:cstheme="minorHAnsi"/>
          <w:b/>
          <w:bCs/>
          <w:color w:val="2F5496" w:themeColor="accent1" w:themeShade="BF"/>
          <w:lang w:val="ro-RO"/>
        </w:rPr>
      </w:pPr>
    </w:p>
    <w:p w14:paraId="366A0491" w14:textId="504C0B55" w:rsidR="006F6C3B" w:rsidRPr="00107B94" w:rsidRDefault="00FB53D8" w:rsidP="00A03EDF">
      <w:pPr>
        <w:pStyle w:val="ListParagraph"/>
        <w:numPr>
          <w:ilvl w:val="0"/>
          <w:numId w:val="1"/>
        </w:numPr>
        <w:spacing w:after="0" w:line="276" w:lineRule="auto"/>
        <w:ind w:left="720"/>
        <w:contextualSpacing w:val="0"/>
        <w:rPr>
          <w:rFonts w:cstheme="minorHAnsi"/>
          <w:b/>
          <w:bCs/>
          <w:sz w:val="26"/>
          <w:szCs w:val="26"/>
          <w:lang w:val="ro-RO"/>
        </w:rPr>
      </w:pPr>
      <w:r w:rsidRPr="00107B94">
        <w:rPr>
          <w:rFonts w:cstheme="minorHAnsi"/>
          <w:b/>
          <w:bCs/>
          <w:sz w:val="26"/>
          <w:szCs w:val="26"/>
          <w:lang w:val="ro-RO"/>
        </w:rPr>
        <w:lastRenderedPageBreak/>
        <w:t>INDICATORI DE REZULTAT</w:t>
      </w:r>
    </w:p>
    <w:tbl>
      <w:tblPr>
        <w:tblStyle w:val="TableGrid"/>
        <w:tblW w:w="0" w:type="auto"/>
        <w:jc w:val="center"/>
        <w:tblLook w:val="04A0" w:firstRow="1" w:lastRow="0" w:firstColumn="1" w:lastColumn="0" w:noHBand="0" w:noVBand="1"/>
      </w:tblPr>
      <w:tblGrid>
        <w:gridCol w:w="1904"/>
        <w:gridCol w:w="7112"/>
      </w:tblGrid>
      <w:tr w:rsidR="00FB53D8" w:rsidRPr="00D902A7" w14:paraId="2B4E9328" w14:textId="77777777" w:rsidTr="00CC21CE">
        <w:trPr>
          <w:trHeight w:val="782"/>
          <w:jc w:val="center"/>
        </w:trPr>
        <w:tc>
          <w:tcPr>
            <w:tcW w:w="9016" w:type="dxa"/>
            <w:gridSpan w:val="2"/>
            <w:shd w:val="clear" w:color="auto" w:fill="2F5496" w:themeFill="accent1" w:themeFillShade="BF"/>
          </w:tcPr>
          <w:p w14:paraId="40316BAB" w14:textId="29CA0A23" w:rsidR="00D8178F" w:rsidRPr="00605C6C" w:rsidRDefault="00D8178F" w:rsidP="00D8178F">
            <w:pPr>
              <w:spacing w:line="276" w:lineRule="auto"/>
              <w:rPr>
                <w:rFonts w:cstheme="minorHAnsi"/>
                <w:b/>
                <w:color w:val="FFFFFF" w:themeColor="background1"/>
                <w:sz w:val="24"/>
                <w:szCs w:val="24"/>
                <w:lang w:val="ro-RO"/>
              </w:rPr>
            </w:pPr>
            <w:r w:rsidRPr="00605C6C">
              <w:rPr>
                <w:rFonts w:cstheme="minorHAnsi"/>
                <w:b/>
                <w:color w:val="FFFFFF" w:themeColor="background1"/>
                <w:sz w:val="24"/>
                <w:szCs w:val="24"/>
                <w:lang w:val="ro-RO"/>
              </w:rPr>
              <w:t>RCR</w:t>
            </w:r>
            <w:r w:rsidR="00451ACD">
              <w:rPr>
                <w:rFonts w:cstheme="minorHAnsi"/>
                <w:b/>
                <w:color w:val="FFFFFF" w:themeColor="background1"/>
                <w:sz w:val="24"/>
                <w:szCs w:val="24"/>
                <w:lang w:val="ro-RO"/>
              </w:rPr>
              <w:t>01</w:t>
            </w:r>
          </w:p>
          <w:p w14:paraId="1AD2FD5D" w14:textId="407D63CD" w:rsidR="00FB53D8" w:rsidRPr="00AD6C91" w:rsidRDefault="00451ACD" w:rsidP="00D8178F">
            <w:pPr>
              <w:spacing w:line="276" w:lineRule="auto"/>
              <w:rPr>
                <w:b/>
                <w:lang w:val="ro-RO"/>
              </w:rPr>
            </w:pPr>
            <w:r w:rsidRPr="00AD6C91">
              <w:rPr>
                <w:rFonts w:cstheme="minorHAnsi"/>
                <w:b/>
                <w:color w:val="FFFFFF" w:themeColor="background1"/>
                <w:lang w:val="ro-RO"/>
              </w:rPr>
              <w:t>Locuri de muncă create în entitățile care beneficiază de sprijin</w:t>
            </w:r>
          </w:p>
        </w:tc>
      </w:tr>
      <w:tr w:rsidR="00FB53D8" w:rsidRPr="00D902A7" w14:paraId="0316DAA4" w14:textId="77777777" w:rsidTr="00CC21CE">
        <w:trPr>
          <w:jc w:val="center"/>
        </w:trPr>
        <w:tc>
          <w:tcPr>
            <w:tcW w:w="1904" w:type="dxa"/>
          </w:tcPr>
          <w:p w14:paraId="00702C1E" w14:textId="77777777" w:rsidR="00FB53D8" w:rsidRPr="00451ACD" w:rsidRDefault="00FB53D8" w:rsidP="00B210CB">
            <w:pPr>
              <w:rPr>
                <w:color w:val="FF0000"/>
                <w:lang w:val="ro-RO"/>
              </w:rPr>
            </w:pPr>
            <w:r w:rsidRPr="00451ACD">
              <w:rPr>
                <w:color w:val="000000" w:themeColor="text1"/>
                <w:lang w:val="ro-RO"/>
              </w:rPr>
              <w:t>Definiție/Descriere Indicator</w:t>
            </w:r>
          </w:p>
        </w:tc>
        <w:tc>
          <w:tcPr>
            <w:tcW w:w="7112" w:type="dxa"/>
            <w:vAlign w:val="center"/>
          </w:tcPr>
          <w:p w14:paraId="1345C0F2" w14:textId="77777777" w:rsidR="002D51BC" w:rsidRPr="002D51BC" w:rsidRDefault="00451ACD" w:rsidP="00451ACD">
            <w:pPr>
              <w:jc w:val="both"/>
              <w:rPr>
                <w:color w:val="000000" w:themeColor="text1"/>
                <w:lang w:val="ro-RO"/>
              </w:rPr>
            </w:pPr>
            <w:r w:rsidRPr="002D51BC">
              <w:rPr>
                <w:color w:val="000000" w:themeColor="text1"/>
                <w:lang w:val="ro-RO"/>
              </w:rPr>
              <w:t xml:space="preserve">Numărul de locuri de muncă exprimate în echivalenți medii cu normă întreagă (ENI), creați în linie de activitate susținută de proiect. Noile posturi trebuie să fie ocupate și pot fi cu normă întreagă, cu normă parțială sau sezoniere. Pozițiile vacante nu sunt luate în considerare. Mai mult, se estimează că pozițiile nou create vor dura cel puțin un an după finalizarea proiectului. </w:t>
            </w:r>
          </w:p>
          <w:p w14:paraId="2415BD58" w14:textId="77777777" w:rsidR="002D51BC" w:rsidRPr="002D51BC" w:rsidRDefault="002D51BC" w:rsidP="00451ACD">
            <w:pPr>
              <w:jc w:val="both"/>
              <w:rPr>
                <w:color w:val="000000" w:themeColor="text1"/>
                <w:lang w:val="ro-RO"/>
              </w:rPr>
            </w:pPr>
          </w:p>
          <w:p w14:paraId="184791B4" w14:textId="7607CB78" w:rsidR="00451ACD" w:rsidRPr="002D51BC" w:rsidRDefault="00451ACD" w:rsidP="00451ACD">
            <w:pPr>
              <w:jc w:val="both"/>
              <w:rPr>
                <w:color w:val="000000" w:themeColor="text1"/>
                <w:lang w:val="ro-RO"/>
              </w:rPr>
            </w:pPr>
            <w:r w:rsidRPr="002D51BC">
              <w:rPr>
                <w:color w:val="000000" w:themeColor="text1"/>
                <w:lang w:val="ro-RO"/>
              </w:rPr>
              <w:t>Indicatorul este calculat ca diferența dintre ENI-urile anuale completate înainte de începerea proiectului și la un an după finalizarea proiectului.</w:t>
            </w:r>
          </w:p>
          <w:p w14:paraId="699137CE" w14:textId="0CAD602A" w:rsidR="00FB53D8" w:rsidRPr="00451ACD" w:rsidRDefault="00451ACD" w:rsidP="00451ACD">
            <w:pPr>
              <w:spacing w:after="120"/>
              <w:jc w:val="both"/>
              <w:rPr>
                <w:rFonts w:ascii="Calibri" w:hAnsi="Calibri" w:cs="Calibri"/>
                <w:color w:val="FF0000"/>
                <w:lang w:val="ro-RO"/>
              </w:rPr>
            </w:pPr>
            <w:r w:rsidRPr="002D51BC">
              <w:rPr>
                <w:color w:val="000000" w:themeColor="text1"/>
                <w:lang w:val="ro-RO"/>
              </w:rPr>
              <w:t>ENI anual este definit ca raportul dintre orele de lucru efectiv lucrate pe parcursul unui an calendaristic împărțit la numărul total de ore lucrate convențional în aceeași perioadă de către o persoană sau un grup. Prin convenție, o persoană nu poate efectua mai mult de un ENI anual. Numărul de ore lucrate convențional este determinat pe baza normelor de muncă normative / statutare conform legislației naționale. O persoană cu normă întreagă va fi identificată cu referire la statutul său de angajare și tipul de contract (cu normă întreagă sau cu normă parțială).</w:t>
            </w:r>
          </w:p>
        </w:tc>
      </w:tr>
      <w:tr w:rsidR="00FB53D8" w:rsidRPr="00605C6C" w14:paraId="466F8A30" w14:textId="77777777" w:rsidTr="00CC21CE">
        <w:trPr>
          <w:jc w:val="center"/>
        </w:trPr>
        <w:tc>
          <w:tcPr>
            <w:tcW w:w="1904" w:type="dxa"/>
          </w:tcPr>
          <w:p w14:paraId="1ECE8246" w14:textId="77777777" w:rsidR="00FB53D8" w:rsidRPr="002D51BC" w:rsidRDefault="00FB53D8" w:rsidP="00B210CB">
            <w:pPr>
              <w:rPr>
                <w:lang w:val="ro-RO"/>
              </w:rPr>
            </w:pPr>
            <w:r w:rsidRPr="002D51BC">
              <w:rPr>
                <w:lang w:val="ro-RO"/>
              </w:rPr>
              <w:t>Unitatea de măsură</w:t>
            </w:r>
            <w:r w:rsidRPr="002D51BC">
              <w:rPr>
                <w:lang w:val="ro-RO"/>
              </w:rPr>
              <w:tab/>
            </w:r>
          </w:p>
        </w:tc>
        <w:tc>
          <w:tcPr>
            <w:tcW w:w="7112" w:type="dxa"/>
            <w:vAlign w:val="center"/>
          </w:tcPr>
          <w:p w14:paraId="0897E66D" w14:textId="3052FB38" w:rsidR="00FB53D8" w:rsidRPr="002D51BC" w:rsidRDefault="002D51BC" w:rsidP="00EB40DC">
            <w:pPr>
              <w:jc w:val="both"/>
              <w:rPr>
                <w:rFonts w:ascii="Calibri" w:hAnsi="Calibri" w:cs="Calibri"/>
                <w:lang w:val="ro-RO"/>
              </w:rPr>
            </w:pPr>
            <w:proofErr w:type="spellStart"/>
            <w:r w:rsidRPr="002D51BC">
              <w:rPr>
                <w:rFonts w:ascii="Calibri" w:hAnsi="Calibri" w:cs="Calibri"/>
              </w:rPr>
              <w:t>echivalent</w:t>
            </w:r>
            <w:proofErr w:type="spellEnd"/>
            <w:r w:rsidRPr="002D51BC">
              <w:rPr>
                <w:rFonts w:ascii="Calibri" w:hAnsi="Calibri" w:cs="Calibri"/>
              </w:rPr>
              <w:t xml:space="preserve"> </w:t>
            </w:r>
            <w:proofErr w:type="spellStart"/>
            <w:r w:rsidRPr="002D51BC">
              <w:rPr>
                <w:rFonts w:ascii="Calibri" w:hAnsi="Calibri" w:cs="Calibri"/>
              </w:rPr>
              <w:t>mediu</w:t>
            </w:r>
            <w:proofErr w:type="spellEnd"/>
            <w:r w:rsidRPr="002D51BC">
              <w:rPr>
                <w:rFonts w:ascii="Calibri" w:hAnsi="Calibri" w:cs="Calibri"/>
              </w:rPr>
              <w:t xml:space="preserve"> cu </w:t>
            </w:r>
            <w:proofErr w:type="spellStart"/>
            <w:r w:rsidRPr="002D51BC">
              <w:rPr>
                <w:rFonts w:ascii="Calibri" w:hAnsi="Calibri" w:cs="Calibri"/>
              </w:rPr>
              <w:t>normă</w:t>
            </w:r>
            <w:proofErr w:type="spellEnd"/>
            <w:r w:rsidRPr="002D51BC">
              <w:rPr>
                <w:rFonts w:ascii="Calibri" w:hAnsi="Calibri" w:cs="Calibri"/>
              </w:rPr>
              <w:t xml:space="preserve"> </w:t>
            </w:r>
            <w:proofErr w:type="spellStart"/>
            <w:r w:rsidRPr="002D51BC">
              <w:rPr>
                <w:rFonts w:ascii="Calibri" w:hAnsi="Calibri" w:cs="Calibri"/>
              </w:rPr>
              <w:t>întreagă</w:t>
            </w:r>
            <w:proofErr w:type="spellEnd"/>
            <w:r w:rsidRPr="002D51BC">
              <w:rPr>
                <w:rFonts w:ascii="Calibri" w:hAnsi="Calibri" w:cs="Calibri"/>
              </w:rPr>
              <w:t xml:space="preserve"> </w:t>
            </w:r>
            <w:proofErr w:type="spellStart"/>
            <w:r w:rsidRPr="002D51BC">
              <w:rPr>
                <w:rFonts w:ascii="Calibri" w:hAnsi="Calibri" w:cs="Calibri"/>
              </w:rPr>
              <w:t>anuală</w:t>
            </w:r>
            <w:proofErr w:type="spellEnd"/>
            <w:r w:rsidRPr="002D51BC">
              <w:rPr>
                <w:rFonts w:ascii="Calibri" w:hAnsi="Calibri" w:cs="Calibri"/>
              </w:rPr>
              <w:t xml:space="preserve"> (ENI)</w:t>
            </w:r>
          </w:p>
        </w:tc>
      </w:tr>
      <w:tr w:rsidR="00FB53D8" w:rsidRPr="00605C6C" w14:paraId="470696BE" w14:textId="77777777" w:rsidTr="00CC21CE">
        <w:trPr>
          <w:jc w:val="center"/>
        </w:trPr>
        <w:tc>
          <w:tcPr>
            <w:tcW w:w="1904" w:type="dxa"/>
          </w:tcPr>
          <w:p w14:paraId="40151BD2" w14:textId="491A4B95" w:rsidR="00FB53D8" w:rsidRPr="002D51BC" w:rsidRDefault="00FB53D8" w:rsidP="00B210CB">
            <w:pPr>
              <w:rPr>
                <w:lang w:val="ro-RO"/>
              </w:rPr>
            </w:pPr>
            <w:r w:rsidRPr="002D51BC">
              <w:rPr>
                <w:lang w:val="ro-RO"/>
              </w:rPr>
              <w:t xml:space="preserve">Valoarea de </w:t>
            </w:r>
            <w:r w:rsidR="001838F7" w:rsidRPr="002D51BC">
              <w:rPr>
                <w:lang w:val="ro-RO"/>
              </w:rPr>
              <w:t>bază</w:t>
            </w:r>
          </w:p>
        </w:tc>
        <w:tc>
          <w:tcPr>
            <w:tcW w:w="7112" w:type="dxa"/>
            <w:vAlign w:val="center"/>
          </w:tcPr>
          <w:p w14:paraId="15C52419" w14:textId="21A3D38B" w:rsidR="00FB53D8" w:rsidRPr="002D51BC" w:rsidRDefault="00660EF0" w:rsidP="00EB40DC">
            <w:pPr>
              <w:jc w:val="both"/>
              <w:rPr>
                <w:lang w:val="ro-RO"/>
              </w:rPr>
            </w:pPr>
            <w:r w:rsidRPr="002D51BC">
              <w:rPr>
                <w:lang w:val="ro-RO"/>
              </w:rPr>
              <w:t>0</w:t>
            </w:r>
          </w:p>
        </w:tc>
      </w:tr>
      <w:tr w:rsidR="00FB53D8" w:rsidRPr="00605C6C" w14:paraId="43B1FF2F" w14:textId="77777777" w:rsidTr="00CC21CE">
        <w:trPr>
          <w:jc w:val="center"/>
        </w:trPr>
        <w:tc>
          <w:tcPr>
            <w:tcW w:w="1904" w:type="dxa"/>
          </w:tcPr>
          <w:p w14:paraId="62D1D1AF" w14:textId="77777777" w:rsidR="00FB53D8" w:rsidRPr="002D51BC" w:rsidRDefault="00FB53D8" w:rsidP="00B210CB">
            <w:pPr>
              <w:rPr>
                <w:lang w:val="ro-RO"/>
              </w:rPr>
            </w:pPr>
            <w:r w:rsidRPr="002D51BC">
              <w:rPr>
                <w:lang w:val="ro-RO"/>
              </w:rPr>
              <w:t>Valoarea țintă</w:t>
            </w:r>
          </w:p>
        </w:tc>
        <w:tc>
          <w:tcPr>
            <w:tcW w:w="7112" w:type="dxa"/>
            <w:vAlign w:val="center"/>
          </w:tcPr>
          <w:p w14:paraId="55E16A25" w14:textId="1C11773F" w:rsidR="00FB53D8" w:rsidRPr="002D51BC" w:rsidRDefault="002D51BC" w:rsidP="00EB40DC">
            <w:pPr>
              <w:jc w:val="both"/>
            </w:pPr>
            <w:r w:rsidRPr="002D51BC">
              <w:t>5</w:t>
            </w:r>
            <w:r w:rsidR="00660EF0" w:rsidRPr="002D51BC">
              <w:t>0</w:t>
            </w:r>
          </w:p>
        </w:tc>
      </w:tr>
      <w:tr w:rsidR="00FB53D8" w:rsidRPr="00D902A7" w14:paraId="3B608F8D" w14:textId="77777777" w:rsidTr="00CC21CE">
        <w:trPr>
          <w:jc w:val="center"/>
        </w:trPr>
        <w:tc>
          <w:tcPr>
            <w:tcW w:w="1904" w:type="dxa"/>
          </w:tcPr>
          <w:p w14:paraId="1E977D93" w14:textId="77777777" w:rsidR="00FB53D8" w:rsidRPr="003A61A8" w:rsidRDefault="00FB53D8" w:rsidP="00B210CB">
            <w:pPr>
              <w:rPr>
                <w:lang w:val="ro-RO"/>
              </w:rPr>
            </w:pPr>
            <w:bookmarkStart w:id="0" w:name="_Hlk204178968"/>
            <w:r w:rsidRPr="003A61A8">
              <w:rPr>
                <w:lang w:val="ro-RO"/>
              </w:rPr>
              <w:t>Momentul îndeplinirii</w:t>
            </w:r>
          </w:p>
        </w:tc>
        <w:tc>
          <w:tcPr>
            <w:tcW w:w="7112" w:type="dxa"/>
            <w:vAlign w:val="center"/>
          </w:tcPr>
          <w:p w14:paraId="614551D0" w14:textId="39FDE60B" w:rsidR="00FB53D8" w:rsidRPr="003A61A8" w:rsidRDefault="00DB66B9" w:rsidP="00EB40DC">
            <w:pPr>
              <w:jc w:val="both"/>
              <w:rPr>
                <w:rFonts w:ascii="Calibri" w:hAnsi="Calibri" w:cs="Calibri"/>
                <w:lang w:val="ro-RO"/>
              </w:rPr>
            </w:pPr>
            <w:r w:rsidRPr="003A61A8">
              <w:rPr>
                <w:rFonts w:ascii="Calibri" w:hAnsi="Calibri" w:cs="Calibri"/>
                <w:lang w:val="ro-RO"/>
              </w:rPr>
              <w:t>La un an după finalizarea output-ului în proiectul sprijinit.</w:t>
            </w:r>
          </w:p>
        </w:tc>
      </w:tr>
      <w:tr w:rsidR="00FB53D8" w:rsidRPr="00AC6203" w14:paraId="6060650A" w14:textId="77777777" w:rsidTr="00CC21CE">
        <w:trPr>
          <w:jc w:val="center"/>
        </w:trPr>
        <w:tc>
          <w:tcPr>
            <w:tcW w:w="1904" w:type="dxa"/>
          </w:tcPr>
          <w:p w14:paraId="026FD8C9" w14:textId="77777777" w:rsidR="00FB53D8" w:rsidRPr="003A61A8" w:rsidRDefault="00FB53D8" w:rsidP="00B210CB">
            <w:pPr>
              <w:rPr>
                <w:lang w:val="ro-RO"/>
              </w:rPr>
            </w:pPr>
            <w:r w:rsidRPr="003A61A8">
              <w:rPr>
                <w:lang w:val="ro-RO"/>
              </w:rPr>
              <w:t xml:space="preserve">Documente justificative privind îndeplinirea indicatorului </w:t>
            </w:r>
          </w:p>
        </w:tc>
        <w:tc>
          <w:tcPr>
            <w:tcW w:w="7112" w:type="dxa"/>
            <w:vAlign w:val="center"/>
          </w:tcPr>
          <w:p w14:paraId="2043B416" w14:textId="1643DD4A" w:rsidR="00FB53D8" w:rsidRPr="003A61A8" w:rsidRDefault="00DB66B9" w:rsidP="00DB66B9">
            <w:pPr>
              <w:jc w:val="both"/>
              <w:rPr>
                <w:rFonts w:ascii="Calibri" w:hAnsi="Calibri" w:cs="Calibri"/>
                <w:lang w:val="ro-RO"/>
              </w:rPr>
            </w:pPr>
            <w:r w:rsidRPr="003A61A8">
              <w:rPr>
                <w:rFonts w:ascii="Calibri" w:hAnsi="Calibri" w:cs="Calibri"/>
                <w:lang w:val="ro-RO"/>
              </w:rPr>
              <w:t>Pentru sprijin prin instrumente financiare, exemple de documente justificative trimise de către beneficiar la Autoritatea de Management includ raportul final al operațiunii și raportul de sustenabilitate trimis la un an dupa finalizarea operațiunii (și incluzând datele detaliate pentru IMM-urile sprijinite astfel: CUI întreprindere sprijinită, numărul de noi locuri de muncă (în ENI anual) create pe întreprindere sprijinită, și  numărul total de ENI anual create la nivel de operațiune).</w:t>
            </w:r>
          </w:p>
        </w:tc>
      </w:tr>
      <w:bookmarkEnd w:id="0"/>
      <w:tr w:rsidR="00FB53D8" w:rsidRPr="001879CA" w14:paraId="0BB9F277" w14:textId="77777777" w:rsidTr="00CC21CE">
        <w:trPr>
          <w:jc w:val="center"/>
        </w:trPr>
        <w:tc>
          <w:tcPr>
            <w:tcW w:w="1904" w:type="dxa"/>
          </w:tcPr>
          <w:p w14:paraId="6D11218C" w14:textId="77777777" w:rsidR="00FB53D8" w:rsidRPr="006F6351" w:rsidRDefault="00FB53D8" w:rsidP="00B210CB">
            <w:pPr>
              <w:rPr>
                <w:lang w:val="ro-RO"/>
              </w:rPr>
            </w:pPr>
            <w:r w:rsidRPr="006F6351">
              <w:rPr>
                <w:lang w:val="ro-RO"/>
              </w:rPr>
              <w:t>Metoda de calcul</w:t>
            </w:r>
          </w:p>
        </w:tc>
        <w:tc>
          <w:tcPr>
            <w:tcW w:w="7112" w:type="dxa"/>
            <w:vAlign w:val="center"/>
          </w:tcPr>
          <w:p w14:paraId="2A153C60" w14:textId="50244AF6" w:rsidR="00FB53D8" w:rsidRPr="006F6351" w:rsidRDefault="00F55D4C" w:rsidP="00EB40DC">
            <w:pPr>
              <w:spacing w:after="120"/>
              <w:jc w:val="both"/>
              <w:rPr>
                <w:lang w:val="ro-RO"/>
              </w:rPr>
            </w:pPr>
            <w:r w:rsidRPr="006F6351">
              <w:rPr>
                <w:lang w:val="ro-RO"/>
              </w:rPr>
              <w:t>În secțiunea Indicatori de realizare și de rezultat din cererea de finanțare se va raporta valoare de bază și valoarea realizată. Valoarea realizată coincide cu valoarea țintă din secțiunile referitoare la Indicatori din cererea de finanțare.</w:t>
            </w:r>
          </w:p>
        </w:tc>
      </w:tr>
      <w:tr w:rsidR="00451ACD" w:rsidRPr="00D902A7" w14:paraId="52FF591B" w14:textId="77777777" w:rsidTr="00940949">
        <w:trPr>
          <w:trHeight w:val="782"/>
          <w:jc w:val="center"/>
        </w:trPr>
        <w:tc>
          <w:tcPr>
            <w:tcW w:w="9016" w:type="dxa"/>
            <w:gridSpan w:val="2"/>
            <w:shd w:val="clear" w:color="auto" w:fill="2F5496" w:themeFill="accent1" w:themeFillShade="BF"/>
          </w:tcPr>
          <w:p w14:paraId="3FB76378" w14:textId="77777777" w:rsidR="00451ACD" w:rsidRPr="00605C6C" w:rsidRDefault="00451ACD" w:rsidP="00940949">
            <w:pPr>
              <w:spacing w:line="276" w:lineRule="auto"/>
              <w:rPr>
                <w:rFonts w:cstheme="minorHAnsi"/>
                <w:b/>
                <w:color w:val="FFFFFF" w:themeColor="background1"/>
                <w:sz w:val="24"/>
                <w:szCs w:val="24"/>
                <w:lang w:val="ro-RO"/>
              </w:rPr>
            </w:pPr>
            <w:r w:rsidRPr="00605C6C">
              <w:rPr>
                <w:rFonts w:cstheme="minorHAnsi"/>
                <w:b/>
                <w:color w:val="FFFFFF" w:themeColor="background1"/>
                <w:sz w:val="24"/>
                <w:szCs w:val="24"/>
                <w:lang w:val="ro-RO"/>
              </w:rPr>
              <w:t>RCR</w:t>
            </w:r>
            <w:r>
              <w:rPr>
                <w:rFonts w:cstheme="minorHAnsi"/>
                <w:b/>
                <w:color w:val="FFFFFF" w:themeColor="background1"/>
                <w:sz w:val="24"/>
                <w:szCs w:val="24"/>
                <w:lang w:val="ro-RO"/>
              </w:rPr>
              <w:t>19</w:t>
            </w:r>
          </w:p>
          <w:p w14:paraId="796FD9B1" w14:textId="77777777" w:rsidR="00451ACD" w:rsidRPr="00107B94" w:rsidRDefault="00451ACD" w:rsidP="00940949">
            <w:pPr>
              <w:spacing w:line="276" w:lineRule="auto"/>
              <w:rPr>
                <w:b/>
                <w:lang w:val="ro-RO"/>
              </w:rPr>
            </w:pPr>
            <w:r w:rsidRPr="00107B94">
              <w:rPr>
                <w:rFonts w:cstheme="minorHAnsi"/>
                <w:b/>
                <w:color w:val="FFFFFF" w:themeColor="background1"/>
                <w:sz w:val="24"/>
                <w:szCs w:val="24"/>
                <w:lang w:val="ro-RO"/>
              </w:rPr>
              <w:t>Întreprinderi: Întreprinderi cu cifră de afaceri crescută</w:t>
            </w:r>
          </w:p>
        </w:tc>
      </w:tr>
      <w:tr w:rsidR="00451ACD" w:rsidRPr="00D902A7" w14:paraId="277CE1CC" w14:textId="77777777" w:rsidTr="00940949">
        <w:trPr>
          <w:jc w:val="center"/>
        </w:trPr>
        <w:tc>
          <w:tcPr>
            <w:tcW w:w="1904" w:type="dxa"/>
          </w:tcPr>
          <w:p w14:paraId="290A39C0" w14:textId="77777777" w:rsidR="00451ACD" w:rsidRPr="00605C6C" w:rsidRDefault="00451ACD" w:rsidP="00940949">
            <w:pPr>
              <w:rPr>
                <w:lang w:val="ro-RO"/>
              </w:rPr>
            </w:pPr>
            <w:r w:rsidRPr="00605C6C">
              <w:rPr>
                <w:lang w:val="ro-RO"/>
              </w:rPr>
              <w:t>Definiție/Descriere Indicator</w:t>
            </w:r>
          </w:p>
        </w:tc>
        <w:tc>
          <w:tcPr>
            <w:tcW w:w="7112" w:type="dxa"/>
            <w:vAlign w:val="center"/>
          </w:tcPr>
          <w:p w14:paraId="08564588" w14:textId="77777777" w:rsidR="00451ACD" w:rsidRDefault="00451ACD" w:rsidP="00940949">
            <w:pPr>
              <w:jc w:val="both"/>
              <w:rPr>
                <w:lang w:val="ro-RO"/>
              </w:rPr>
            </w:pPr>
            <w:r w:rsidRPr="00CC21CE">
              <w:rPr>
                <w:lang w:val="ro-RO"/>
              </w:rPr>
              <w:t>Numărul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Pentru</w:t>
            </w:r>
            <w:r>
              <w:rPr>
                <w:lang w:val="ro-RO"/>
              </w:rPr>
              <w:t xml:space="preserve"> </w:t>
            </w:r>
            <w:r w:rsidRPr="00CC21CE">
              <w:rPr>
                <w:lang w:val="ro-RO"/>
              </w:rPr>
              <w:t xml:space="preserve">întreprinderi cu o creștere a cifrei de afaceri zero sau negativă înainte de începerea proiectului, rata de creștere a cifrei de </w:t>
            </w:r>
            <w:r w:rsidRPr="00CC21CE">
              <w:rPr>
                <w:lang w:val="ro-RO"/>
              </w:rPr>
              <w:lastRenderedPageBreak/>
              <w:t>afaceri în cursul anului fiscal după anul producției finalizarea ar trebui să fie de cel puțin 2%.</w:t>
            </w:r>
            <w:r>
              <w:rPr>
                <w:lang w:val="ro-RO"/>
              </w:rPr>
              <w:t xml:space="preserve"> </w:t>
            </w:r>
          </w:p>
          <w:p w14:paraId="70B63085" w14:textId="77777777" w:rsidR="00451ACD" w:rsidRPr="00CC21CE" w:rsidRDefault="00451ACD" w:rsidP="00940949">
            <w:pPr>
              <w:jc w:val="both"/>
              <w:rPr>
                <w:lang w:val="ro-RO"/>
              </w:rPr>
            </w:pPr>
            <w:r w:rsidRPr="00CC21CE">
              <w:rPr>
                <w:lang w:val="ro-RO"/>
              </w:rPr>
              <w:br/>
              <w:t xml:space="preserve">Cifra de afaceri a </w:t>
            </w:r>
            <w:r>
              <w:rPr>
                <w:lang w:val="ro-RO"/>
              </w:rPr>
              <w:t>î</w:t>
            </w:r>
            <w:r w:rsidRPr="00CC21CE">
              <w:rPr>
                <w:lang w:val="ro-RO"/>
              </w:rPr>
              <w:t xml:space="preserve">ntreprinderii cuprinde sumele totale facturate de </w:t>
            </w:r>
            <w:r>
              <w:rPr>
                <w:lang w:val="ro-RO"/>
              </w:rPr>
              <w:t>î</w:t>
            </w:r>
            <w:r w:rsidRPr="00CC21CE">
              <w:rPr>
                <w:lang w:val="ro-RO"/>
              </w:rPr>
              <w:t>ntreprindere</w:t>
            </w:r>
            <w:r>
              <w:rPr>
                <w:lang w:val="ro-RO"/>
              </w:rPr>
              <w:t xml:space="preserve"> </w:t>
            </w:r>
            <w:r w:rsidRPr="00CC21CE">
              <w:rPr>
                <w:lang w:val="ro-RO"/>
              </w:rPr>
              <w:t>în perioada de referință (un an) și corespunde vânzărilor pe piață de bunuri și servicii furnizate terților (ESTAT2007 în referințe).</w:t>
            </w:r>
          </w:p>
          <w:p w14:paraId="18704E69" w14:textId="77777777" w:rsidR="00451ACD" w:rsidRPr="00D902A7" w:rsidRDefault="00451ACD" w:rsidP="00940949">
            <w:pPr>
              <w:spacing w:after="120"/>
              <w:jc w:val="both"/>
              <w:rPr>
                <w:rFonts w:ascii="Calibri" w:hAnsi="Calibri" w:cs="Calibri"/>
                <w:color w:val="000000"/>
                <w:lang w:val="ro-RO"/>
              </w:rPr>
            </w:pPr>
          </w:p>
        </w:tc>
      </w:tr>
      <w:tr w:rsidR="00451ACD" w:rsidRPr="00605C6C" w14:paraId="3853D132" w14:textId="77777777" w:rsidTr="00940949">
        <w:trPr>
          <w:jc w:val="center"/>
        </w:trPr>
        <w:tc>
          <w:tcPr>
            <w:tcW w:w="1904" w:type="dxa"/>
          </w:tcPr>
          <w:p w14:paraId="7CEF05CE" w14:textId="77777777" w:rsidR="00451ACD" w:rsidRPr="00605C6C" w:rsidRDefault="00451ACD" w:rsidP="00940949">
            <w:pPr>
              <w:rPr>
                <w:lang w:val="ro-RO"/>
              </w:rPr>
            </w:pPr>
            <w:r w:rsidRPr="00605C6C">
              <w:rPr>
                <w:lang w:val="ro-RO"/>
              </w:rPr>
              <w:lastRenderedPageBreak/>
              <w:t>Unitatea de măsură</w:t>
            </w:r>
            <w:r w:rsidRPr="00605C6C">
              <w:rPr>
                <w:lang w:val="ro-RO"/>
              </w:rPr>
              <w:tab/>
            </w:r>
          </w:p>
        </w:tc>
        <w:tc>
          <w:tcPr>
            <w:tcW w:w="7112" w:type="dxa"/>
            <w:vAlign w:val="center"/>
          </w:tcPr>
          <w:p w14:paraId="78BEA09A" w14:textId="77777777" w:rsidR="00451ACD" w:rsidRDefault="00451ACD" w:rsidP="00940949">
            <w:pPr>
              <w:jc w:val="both"/>
              <w:rPr>
                <w:rFonts w:ascii="Calibri" w:hAnsi="Calibri" w:cs="Calibri"/>
                <w:color w:val="000000"/>
              </w:rPr>
            </w:pPr>
            <w:r>
              <w:rPr>
                <w:rFonts w:ascii="Calibri" w:hAnsi="Calibri" w:cs="Calibri"/>
                <w:color w:val="000000"/>
              </w:rPr>
              <w:t xml:space="preserve">Nr. </w:t>
            </w:r>
            <w:proofErr w:type="spellStart"/>
            <w:r>
              <w:rPr>
                <w:rFonts w:ascii="Calibri" w:hAnsi="Calibri" w:cs="Calibri"/>
                <w:color w:val="000000"/>
              </w:rPr>
              <w:t>întreprinderi</w:t>
            </w:r>
            <w:proofErr w:type="spellEnd"/>
            <w:r>
              <w:rPr>
                <w:rFonts w:ascii="Calibri" w:hAnsi="Calibri" w:cs="Calibri"/>
                <w:color w:val="000000"/>
              </w:rPr>
              <w:t xml:space="preserve"> </w:t>
            </w:r>
          </w:p>
          <w:p w14:paraId="44241C05" w14:textId="77777777" w:rsidR="00451ACD" w:rsidRPr="00605C6C" w:rsidRDefault="00451ACD" w:rsidP="00940949">
            <w:pPr>
              <w:jc w:val="both"/>
              <w:rPr>
                <w:rFonts w:ascii="Calibri" w:hAnsi="Calibri" w:cs="Calibri"/>
                <w:color w:val="000000"/>
                <w:lang w:val="ro-RO"/>
              </w:rPr>
            </w:pPr>
          </w:p>
        </w:tc>
      </w:tr>
      <w:tr w:rsidR="00451ACD" w:rsidRPr="00605C6C" w14:paraId="279B971D" w14:textId="77777777" w:rsidTr="00940949">
        <w:trPr>
          <w:jc w:val="center"/>
        </w:trPr>
        <w:tc>
          <w:tcPr>
            <w:tcW w:w="1904" w:type="dxa"/>
          </w:tcPr>
          <w:p w14:paraId="028D3BCA" w14:textId="77777777" w:rsidR="00451ACD" w:rsidRPr="00605C6C" w:rsidRDefault="00451ACD" w:rsidP="00940949">
            <w:pPr>
              <w:rPr>
                <w:lang w:val="ro-RO"/>
              </w:rPr>
            </w:pPr>
            <w:r w:rsidRPr="00605C6C">
              <w:rPr>
                <w:lang w:val="ro-RO"/>
              </w:rPr>
              <w:t>Valoarea de bază</w:t>
            </w:r>
          </w:p>
        </w:tc>
        <w:tc>
          <w:tcPr>
            <w:tcW w:w="7112" w:type="dxa"/>
            <w:vAlign w:val="center"/>
          </w:tcPr>
          <w:p w14:paraId="7F3B78F0" w14:textId="77777777" w:rsidR="00451ACD" w:rsidRPr="00605C6C" w:rsidRDefault="00451ACD" w:rsidP="00940949">
            <w:pPr>
              <w:jc w:val="both"/>
              <w:rPr>
                <w:lang w:val="ro-RO"/>
              </w:rPr>
            </w:pPr>
            <w:r>
              <w:rPr>
                <w:lang w:val="ro-RO"/>
              </w:rPr>
              <w:t>0</w:t>
            </w:r>
          </w:p>
        </w:tc>
      </w:tr>
      <w:tr w:rsidR="00451ACD" w:rsidRPr="00605C6C" w14:paraId="0414D3C4" w14:textId="77777777" w:rsidTr="00940949">
        <w:trPr>
          <w:jc w:val="center"/>
        </w:trPr>
        <w:tc>
          <w:tcPr>
            <w:tcW w:w="1904" w:type="dxa"/>
          </w:tcPr>
          <w:p w14:paraId="1700EAC3" w14:textId="77777777" w:rsidR="00451ACD" w:rsidRPr="00605C6C" w:rsidRDefault="00451ACD" w:rsidP="00940949">
            <w:pPr>
              <w:rPr>
                <w:lang w:val="ro-RO"/>
              </w:rPr>
            </w:pPr>
            <w:r w:rsidRPr="00605C6C">
              <w:rPr>
                <w:lang w:val="ro-RO"/>
              </w:rPr>
              <w:t>Valoarea țintă</w:t>
            </w:r>
          </w:p>
        </w:tc>
        <w:tc>
          <w:tcPr>
            <w:tcW w:w="7112" w:type="dxa"/>
            <w:vAlign w:val="center"/>
          </w:tcPr>
          <w:p w14:paraId="193AE94C" w14:textId="49F09F5D" w:rsidR="00451ACD" w:rsidRPr="00620D98" w:rsidRDefault="00C77370" w:rsidP="00940949">
            <w:pPr>
              <w:jc w:val="both"/>
            </w:pPr>
            <w:r>
              <w:t>42</w:t>
            </w:r>
          </w:p>
        </w:tc>
      </w:tr>
      <w:tr w:rsidR="00451ACD" w:rsidRPr="00D902A7" w14:paraId="3DDB181B" w14:textId="77777777" w:rsidTr="00940949">
        <w:trPr>
          <w:jc w:val="center"/>
        </w:trPr>
        <w:tc>
          <w:tcPr>
            <w:tcW w:w="1904" w:type="dxa"/>
          </w:tcPr>
          <w:p w14:paraId="2E0CC0CC" w14:textId="77777777" w:rsidR="00451ACD" w:rsidRPr="00605C6C" w:rsidRDefault="00451ACD" w:rsidP="00940949">
            <w:pPr>
              <w:rPr>
                <w:lang w:val="ro-RO"/>
              </w:rPr>
            </w:pPr>
            <w:r w:rsidRPr="00605C6C">
              <w:rPr>
                <w:lang w:val="ro-RO"/>
              </w:rPr>
              <w:t>Momentul îndeplinirii</w:t>
            </w:r>
          </w:p>
        </w:tc>
        <w:tc>
          <w:tcPr>
            <w:tcW w:w="7112" w:type="dxa"/>
            <w:vAlign w:val="center"/>
          </w:tcPr>
          <w:p w14:paraId="3A4D2D99" w14:textId="77777777" w:rsidR="00451ACD" w:rsidRPr="00605C6C" w:rsidRDefault="00451ACD" w:rsidP="00940949">
            <w:pPr>
              <w:jc w:val="both"/>
              <w:rPr>
                <w:rFonts w:ascii="Calibri" w:hAnsi="Calibri" w:cs="Calibri"/>
                <w:color w:val="000000"/>
                <w:lang w:val="ro-RO"/>
              </w:rPr>
            </w:pPr>
            <w:r w:rsidRPr="00660EF0">
              <w:rPr>
                <w:rFonts w:ascii="Calibri" w:hAnsi="Calibri" w:cs="Calibri"/>
                <w:color w:val="000000"/>
                <w:lang w:val="ro-RO"/>
              </w:rPr>
              <w:t>La sfârșitul anului fiscal care urmează anului finalizării output-ului din proiect.</w:t>
            </w:r>
          </w:p>
        </w:tc>
      </w:tr>
      <w:tr w:rsidR="00451ACD" w:rsidRPr="00AC6203" w14:paraId="021F2FCE" w14:textId="77777777" w:rsidTr="00940949">
        <w:trPr>
          <w:jc w:val="center"/>
        </w:trPr>
        <w:tc>
          <w:tcPr>
            <w:tcW w:w="1904" w:type="dxa"/>
          </w:tcPr>
          <w:p w14:paraId="19388F44" w14:textId="77777777" w:rsidR="00451ACD" w:rsidRPr="00605C6C" w:rsidRDefault="00451ACD" w:rsidP="00940949">
            <w:pPr>
              <w:rPr>
                <w:lang w:val="ro-RO"/>
              </w:rPr>
            </w:pPr>
            <w:r w:rsidRPr="00605C6C">
              <w:rPr>
                <w:lang w:val="ro-RO"/>
              </w:rPr>
              <w:t xml:space="preserve">Documente justificative privind îndeplinirea indicatorului </w:t>
            </w:r>
          </w:p>
        </w:tc>
        <w:tc>
          <w:tcPr>
            <w:tcW w:w="7112" w:type="dxa"/>
            <w:vAlign w:val="center"/>
          </w:tcPr>
          <w:p w14:paraId="29DCD3CF" w14:textId="77777777" w:rsidR="00451ACD" w:rsidRDefault="00451ACD" w:rsidP="00940949">
            <w:pPr>
              <w:jc w:val="both"/>
              <w:rPr>
                <w:rFonts w:ascii="Calibri" w:hAnsi="Calibri" w:cs="Calibri"/>
                <w:color w:val="000000"/>
                <w:lang w:val="ro-RO"/>
              </w:rPr>
            </w:pPr>
            <w:r w:rsidRPr="007C0CAB">
              <w:rPr>
                <w:rFonts w:ascii="Calibri" w:hAnsi="Calibri" w:cs="Calibri"/>
                <w:b/>
                <w:bCs/>
                <w:color w:val="000000"/>
                <w:lang w:val="ro-RO"/>
              </w:rPr>
              <w:t>Valoarea realizată</w:t>
            </w:r>
            <w:r w:rsidRPr="007C0CAB">
              <w:rPr>
                <w:rFonts w:ascii="Calibri" w:hAnsi="Calibri" w:cs="Calibri"/>
                <w:color w:val="000000"/>
                <w:lang w:val="ro-RO"/>
              </w:rPr>
              <w:t xml:space="preserve"> reprezintă numărul de întreprinderi sprijinite care își mențin creșterea cifrei anuală a de afaceri, sau ating o creștere anuală a cifrei de afaceri de cel puțin 2% (conform definiției de mai sus) cel mai târziu la finalul anului fiscal care urmează anului finalizării output-ului din proiect. Creșterea cifrei de afaceri a întreprinderii se calculează pentru un an fiscal, conform definiției.</w:t>
            </w:r>
          </w:p>
          <w:p w14:paraId="17B67735" w14:textId="77777777" w:rsidR="00451ACD" w:rsidRDefault="00451ACD" w:rsidP="00940949">
            <w:pPr>
              <w:jc w:val="both"/>
              <w:rPr>
                <w:rFonts w:ascii="Calibri" w:hAnsi="Calibri" w:cs="Calibri"/>
                <w:color w:val="000000"/>
                <w:lang w:val="ro-RO"/>
              </w:rPr>
            </w:pPr>
            <w:r w:rsidRPr="007C0CAB">
              <w:rPr>
                <w:rFonts w:ascii="Calibri" w:hAnsi="Calibri" w:cs="Calibri"/>
                <w:color w:val="000000"/>
                <w:lang w:val="ro-RO"/>
              </w:rPr>
              <w:br/>
            </w:r>
            <w:r>
              <w:rPr>
                <w:rFonts w:ascii="Calibri" w:hAnsi="Calibri" w:cs="Calibri"/>
                <w:color w:val="000000"/>
                <w:lang w:val="ro-RO"/>
              </w:rPr>
              <w:t>Frecventa raportării - anual în baza situațiilor financiare anuale depuse la organul fiscal competent.</w:t>
            </w:r>
          </w:p>
          <w:p w14:paraId="4E07D8E9" w14:textId="77777777" w:rsidR="00451ACD" w:rsidRDefault="00451ACD" w:rsidP="00940949">
            <w:pPr>
              <w:jc w:val="both"/>
              <w:rPr>
                <w:rFonts w:ascii="Calibri" w:hAnsi="Calibri" w:cs="Calibri"/>
                <w:color w:val="000000"/>
                <w:lang w:val="ro-RO"/>
              </w:rPr>
            </w:pPr>
            <w:r w:rsidRPr="007C0CAB">
              <w:rPr>
                <w:rFonts w:ascii="Calibri" w:hAnsi="Calibri" w:cs="Calibri"/>
                <w:color w:val="000000"/>
                <w:lang w:val="ro-RO"/>
              </w:rPr>
              <w:br/>
            </w:r>
            <w:r w:rsidRPr="000C4C4E">
              <w:rPr>
                <w:rFonts w:ascii="Calibri" w:hAnsi="Calibri" w:cs="Calibri"/>
                <w:b/>
                <w:bCs/>
                <w:color w:val="000000"/>
                <w:lang w:val="ro-RO"/>
              </w:rPr>
              <w:t>Exemple de documente justificative</w:t>
            </w:r>
            <w:r w:rsidRPr="000C4C4E">
              <w:rPr>
                <w:rFonts w:ascii="Calibri" w:hAnsi="Calibri" w:cs="Calibri"/>
                <w:color w:val="000000"/>
                <w:lang w:val="ro-RO"/>
              </w:rPr>
              <w:t xml:space="preserve"> pentru acest indicator includ documente care atestă realizarea creșterii cifrei de afaceri raportate. </w:t>
            </w:r>
            <w:r w:rsidRPr="00AC6203">
              <w:rPr>
                <w:rFonts w:ascii="Calibri" w:hAnsi="Calibri" w:cs="Calibri"/>
                <w:color w:val="000000"/>
                <w:lang w:val="ro-RO"/>
              </w:rPr>
              <w:t>Beneficiarul furnizează In</w:t>
            </w:r>
            <w:r>
              <w:rPr>
                <w:rFonts w:ascii="Calibri" w:hAnsi="Calibri" w:cs="Calibri"/>
                <w:color w:val="000000"/>
                <w:lang w:val="ro-RO"/>
              </w:rPr>
              <w:t>termediarului Financiar</w:t>
            </w:r>
            <w:r w:rsidRPr="00AC6203">
              <w:rPr>
                <w:rFonts w:ascii="Calibri" w:hAnsi="Calibri" w:cs="Calibri"/>
                <w:color w:val="000000"/>
                <w:lang w:val="ro-RO"/>
              </w:rPr>
              <w:t xml:space="preserve"> și metodologia aplicată pentru calcularea creșterii cifrei de afaceri raportate.</w:t>
            </w:r>
          </w:p>
          <w:p w14:paraId="1E194660" w14:textId="77777777" w:rsidR="00451ACD" w:rsidRPr="00AC6203" w:rsidRDefault="00451ACD" w:rsidP="00940949">
            <w:pPr>
              <w:jc w:val="both"/>
              <w:rPr>
                <w:rFonts w:ascii="Calibri" w:hAnsi="Calibri" w:cs="Calibri"/>
                <w:color w:val="000000"/>
                <w:lang w:val="ro-RO"/>
              </w:rPr>
            </w:pPr>
            <w:r w:rsidRPr="00AC6203">
              <w:rPr>
                <w:rFonts w:ascii="Calibri" w:hAnsi="Calibri" w:cs="Calibri"/>
                <w:color w:val="000000"/>
                <w:lang w:val="ro-RO"/>
              </w:rPr>
              <w:br/>
              <w:t>Pentru instrumente financiare beneficiarul raportează creșterea anuală a cifrei de afaceri pentru fiecare întreprindere susținută.</w:t>
            </w:r>
          </w:p>
          <w:p w14:paraId="4AADA1A6" w14:textId="77777777" w:rsidR="00451ACD" w:rsidRPr="00605C6C" w:rsidRDefault="00451ACD" w:rsidP="00940949">
            <w:pPr>
              <w:spacing w:after="120"/>
              <w:rPr>
                <w:rFonts w:ascii="Calibri" w:hAnsi="Calibri" w:cs="Calibri"/>
                <w:color w:val="000000"/>
                <w:lang w:val="ro-RO"/>
              </w:rPr>
            </w:pPr>
          </w:p>
        </w:tc>
      </w:tr>
      <w:tr w:rsidR="00451ACD" w:rsidRPr="001879CA" w14:paraId="30269A73" w14:textId="77777777" w:rsidTr="00940949">
        <w:trPr>
          <w:jc w:val="center"/>
        </w:trPr>
        <w:tc>
          <w:tcPr>
            <w:tcW w:w="1904" w:type="dxa"/>
          </w:tcPr>
          <w:p w14:paraId="0179A4CB" w14:textId="77777777" w:rsidR="00451ACD" w:rsidRPr="00605C6C" w:rsidRDefault="00451ACD" w:rsidP="00940949">
            <w:pPr>
              <w:rPr>
                <w:lang w:val="ro-RO"/>
              </w:rPr>
            </w:pPr>
            <w:r w:rsidRPr="00605C6C">
              <w:rPr>
                <w:lang w:val="ro-RO"/>
              </w:rPr>
              <w:t>Metoda de calcul</w:t>
            </w:r>
          </w:p>
        </w:tc>
        <w:tc>
          <w:tcPr>
            <w:tcW w:w="7112" w:type="dxa"/>
            <w:vAlign w:val="center"/>
          </w:tcPr>
          <w:p w14:paraId="32B3A0A5" w14:textId="77777777" w:rsidR="00451ACD" w:rsidRPr="00605C6C" w:rsidRDefault="00451ACD" w:rsidP="00940949">
            <w:pPr>
              <w:spacing w:after="120"/>
              <w:jc w:val="both"/>
              <w:rPr>
                <w:lang w:val="ro-RO"/>
              </w:rPr>
            </w:pPr>
            <w:r w:rsidRPr="00605C6C">
              <w:rPr>
                <w:lang w:val="ro-RO"/>
              </w:rPr>
              <w:t>În secțiunea Indicatori de realizare și de rezultat din cererea de finanțare se va raporta valoare de bază și valoarea realizată. Valoarea realizată coincide cu valoarea țintă din secțiunile referitoare la Indicatori din cererea de finanțare.</w:t>
            </w:r>
          </w:p>
        </w:tc>
      </w:tr>
    </w:tbl>
    <w:p w14:paraId="7E4BCFDD" w14:textId="77777777" w:rsidR="00FB53D8" w:rsidRDefault="00FB53D8" w:rsidP="00EB40DC">
      <w:pPr>
        <w:spacing w:after="0"/>
        <w:rPr>
          <w:b/>
          <w:bCs/>
          <w:color w:val="2F5496" w:themeColor="accent1" w:themeShade="BF"/>
          <w:lang w:val="ro-RO"/>
        </w:rPr>
      </w:pPr>
    </w:p>
    <w:p w14:paraId="2DAA1F22" w14:textId="77777777" w:rsidR="00EB40DC" w:rsidRPr="00FB53D8" w:rsidRDefault="00EB40DC" w:rsidP="00EB40DC">
      <w:pPr>
        <w:spacing w:after="0"/>
        <w:rPr>
          <w:b/>
          <w:bCs/>
          <w:color w:val="2F5496" w:themeColor="accent1" w:themeShade="BF"/>
          <w:lang w:val="ro-RO"/>
        </w:rPr>
      </w:pPr>
    </w:p>
    <w:sectPr w:rsidR="00EB40DC" w:rsidRPr="00FB53D8" w:rsidSect="00BB15E0">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A13684" w14:textId="77777777" w:rsidR="00807F59" w:rsidRDefault="00807F59" w:rsidP="00156BD4">
      <w:pPr>
        <w:spacing w:after="0" w:line="240" w:lineRule="auto"/>
      </w:pPr>
      <w:r>
        <w:separator/>
      </w:r>
    </w:p>
  </w:endnote>
  <w:endnote w:type="continuationSeparator" w:id="0">
    <w:p w14:paraId="5A59BE04" w14:textId="77777777" w:rsidR="00807F59" w:rsidRDefault="00807F59" w:rsidP="00156BD4">
      <w:pPr>
        <w:spacing w:after="0" w:line="240" w:lineRule="auto"/>
      </w:pPr>
      <w:r>
        <w:continuationSeparator/>
      </w:r>
    </w:p>
  </w:endnote>
  <w:endnote w:type="continuationNotice" w:id="1">
    <w:p w14:paraId="642A6880" w14:textId="77777777" w:rsidR="00807F59" w:rsidRDefault="00807F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2C91C" w14:textId="77777777" w:rsidR="00BB15E0" w:rsidRDefault="00BB15E0" w:rsidP="002016E9">
    <w:pPr>
      <w:pStyle w:val="Footer"/>
      <w:jc w:val="right"/>
      <w:rPr>
        <w:rStyle w:val="PageNumber"/>
        <w:color w:val="333333"/>
        <w:sz w:val="20"/>
        <w:szCs w:val="20"/>
      </w:rPr>
    </w:pPr>
  </w:p>
  <w:p w14:paraId="71C53EF9" w14:textId="38193D2C" w:rsidR="007B0852" w:rsidRPr="006817A7" w:rsidRDefault="009C7C06" w:rsidP="007B0852">
    <w:pPr>
      <w:pStyle w:val="Footer"/>
      <w:jc w:val="right"/>
      <w:rPr>
        <w:color w:val="333333"/>
        <w:sz w:val="20"/>
        <w:szCs w:val="20"/>
        <w:lang w:val="pt-BR"/>
      </w:rPr>
    </w:pPr>
    <w:r>
      <w:rPr>
        <w:noProof/>
      </w:rPr>
      <w:drawing>
        <wp:inline distT="0" distB="0" distL="0" distR="0" wp14:anchorId="3B4C9FFE" wp14:editId="4AB99969">
          <wp:extent cx="5731510" cy="431553"/>
          <wp:effectExtent l="0" t="0" r="254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431553"/>
                  </a:xfrm>
                  <a:prstGeom prst="rect">
                    <a:avLst/>
                  </a:prstGeom>
                  <a:noFill/>
                  <a:ln>
                    <a:noFill/>
                  </a:ln>
                </pic:spPr>
              </pic:pic>
            </a:graphicData>
          </a:graphic>
        </wp:inline>
      </w:drawing>
    </w:r>
    <w:r w:rsidR="002016E9" w:rsidRPr="00C415BE">
      <w:rPr>
        <w:rStyle w:val="PageNumber"/>
        <w:color w:val="333333"/>
        <w:sz w:val="20"/>
        <w:szCs w:val="20"/>
      </w:rPr>
      <w:fldChar w:fldCharType="begin"/>
    </w:r>
    <w:r w:rsidR="002016E9" w:rsidRPr="006817A7">
      <w:rPr>
        <w:rStyle w:val="PageNumber"/>
        <w:color w:val="333333"/>
        <w:sz w:val="20"/>
        <w:szCs w:val="20"/>
        <w:lang w:val="pt-BR"/>
      </w:rPr>
      <w:instrText xml:space="preserve"> PAGE </w:instrText>
    </w:r>
    <w:r w:rsidR="002016E9" w:rsidRPr="00C415BE">
      <w:rPr>
        <w:rStyle w:val="PageNumber"/>
        <w:color w:val="333333"/>
        <w:sz w:val="20"/>
        <w:szCs w:val="20"/>
      </w:rPr>
      <w:fldChar w:fldCharType="separate"/>
    </w:r>
    <w:r w:rsidR="002016E9" w:rsidRPr="006817A7">
      <w:rPr>
        <w:rStyle w:val="PageNumber"/>
        <w:color w:val="333333"/>
        <w:sz w:val="20"/>
        <w:szCs w:val="20"/>
        <w:lang w:val="pt-BR"/>
      </w:rPr>
      <w:t>2</w:t>
    </w:r>
    <w:r w:rsidR="002016E9" w:rsidRPr="00C415BE">
      <w:rPr>
        <w:rStyle w:val="PageNumber"/>
        <w:color w:val="333333"/>
        <w:sz w:val="20"/>
        <w:szCs w:val="20"/>
      </w:rPr>
      <w:fldChar w:fldCharType="end"/>
    </w:r>
  </w:p>
  <w:p w14:paraId="370DCCC5" w14:textId="1597413A" w:rsidR="007B0852" w:rsidRPr="007B0852" w:rsidRDefault="007B0852" w:rsidP="007B0852">
    <w:pPr>
      <w:tabs>
        <w:tab w:val="center" w:pos="4513"/>
        <w:tab w:val="right" w:pos="9026"/>
      </w:tabs>
      <w:spacing w:after="0" w:line="240" w:lineRule="auto"/>
      <w:rPr>
        <w:rFonts w:ascii="Calibri" w:eastAsia="Calibri" w:hAnsi="Calibri" w:cs="Times New Roman"/>
        <w:kern w:val="0"/>
        <w:lang w:val="ro-RO"/>
        <w14:ligatures w14:val="none"/>
      </w:rPr>
    </w:pPr>
  </w:p>
  <w:p w14:paraId="27757437" w14:textId="7345F277" w:rsidR="007B0852" w:rsidRPr="007B0852" w:rsidRDefault="007B0852" w:rsidP="007E1B16">
    <w:pPr>
      <w:tabs>
        <w:tab w:val="center" w:pos="4513"/>
        <w:tab w:val="right" w:pos="9026"/>
      </w:tabs>
      <w:spacing w:after="0" w:line="240" w:lineRule="auto"/>
      <w:jc w:val="right"/>
      <w:rPr>
        <w:rFonts w:ascii="Calibri" w:eastAsia="Calibri" w:hAnsi="Calibri" w:cs="Times New Roman"/>
        <w:kern w:val="0"/>
        <w:lang w:val="ro-RO"/>
        <w14:ligatures w14:val="no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5C8B6" w14:textId="77777777" w:rsidR="00BB15E0" w:rsidRDefault="00BB15E0" w:rsidP="00DE644D">
    <w:pPr>
      <w:pStyle w:val="Footer"/>
      <w:jc w:val="right"/>
      <w:rPr>
        <w:rStyle w:val="PageNumber"/>
        <w:color w:val="333333"/>
        <w:sz w:val="20"/>
        <w:szCs w:val="20"/>
      </w:rPr>
    </w:pPr>
  </w:p>
  <w:p w14:paraId="7A42E601" w14:textId="300DB182" w:rsidR="007B0852" w:rsidRPr="007B0852" w:rsidRDefault="00DE644D" w:rsidP="007B0852">
    <w:pPr>
      <w:pStyle w:val="Footer"/>
      <w:jc w:val="right"/>
      <w:rPr>
        <w:b/>
        <w:noProof/>
        <w:color w:val="002060"/>
        <w:sz w:val="18"/>
        <w:szCs w:val="18"/>
        <w:lang w:val="ro-RO" w:eastAsia="ro-RO"/>
      </w:rPr>
    </w:pPr>
    <w:r w:rsidRPr="00C415BE">
      <w:rPr>
        <w:rStyle w:val="PageNumber"/>
        <w:color w:val="333333"/>
        <w:sz w:val="20"/>
        <w:szCs w:val="20"/>
      </w:rPr>
      <w:fldChar w:fldCharType="begin"/>
    </w:r>
    <w:r w:rsidRPr="006817A7">
      <w:rPr>
        <w:rStyle w:val="PageNumber"/>
        <w:color w:val="333333"/>
        <w:sz w:val="20"/>
        <w:szCs w:val="20"/>
        <w:lang w:val="pt-BR"/>
      </w:rPr>
      <w:instrText xml:space="preserve"> PAGE </w:instrText>
    </w:r>
    <w:r w:rsidRPr="00C415BE">
      <w:rPr>
        <w:rStyle w:val="PageNumber"/>
        <w:color w:val="333333"/>
        <w:sz w:val="20"/>
        <w:szCs w:val="20"/>
      </w:rPr>
      <w:fldChar w:fldCharType="separate"/>
    </w:r>
    <w:r w:rsidRPr="006817A7">
      <w:rPr>
        <w:rStyle w:val="PageNumber"/>
        <w:color w:val="333333"/>
        <w:sz w:val="20"/>
        <w:szCs w:val="20"/>
        <w:lang w:val="pt-BR"/>
      </w:rPr>
      <w:t>1</w:t>
    </w:r>
    <w:r w:rsidRPr="00C415BE">
      <w:rPr>
        <w:rStyle w:val="PageNumber"/>
        <w:color w:val="333333"/>
        <w:sz w:val="20"/>
        <w:szCs w:val="20"/>
      </w:rPr>
      <w:fldChar w:fldCharType="end"/>
    </w:r>
  </w:p>
  <w:p w14:paraId="737EBB88" w14:textId="7FCDB1DF" w:rsidR="007B0852" w:rsidRPr="007B0852" w:rsidRDefault="007B0852" w:rsidP="007B0852">
    <w:pPr>
      <w:tabs>
        <w:tab w:val="center" w:pos="4513"/>
        <w:tab w:val="right" w:pos="9026"/>
      </w:tabs>
      <w:spacing w:after="0" w:line="240" w:lineRule="auto"/>
      <w:rPr>
        <w:rFonts w:ascii="Calibri" w:eastAsia="Calibri" w:hAnsi="Calibri" w:cs="Times New Roman"/>
        <w:kern w:val="0"/>
        <w:lang w:val="ro-RO"/>
        <w14:ligatures w14:val="none"/>
      </w:rPr>
    </w:pPr>
  </w:p>
  <w:p w14:paraId="5FED4452" w14:textId="4E7CF935" w:rsidR="007B0852" w:rsidRPr="007B0852" w:rsidRDefault="0050153E" w:rsidP="007E1B16">
    <w:pPr>
      <w:tabs>
        <w:tab w:val="center" w:pos="4513"/>
        <w:tab w:val="right" w:pos="9026"/>
      </w:tabs>
      <w:spacing w:after="0" w:line="240" w:lineRule="auto"/>
      <w:jc w:val="right"/>
      <w:rPr>
        <w:rFonts w:ascii="Calibri" w:eastAsia="Calibri" w:hAnsi="Calibri" w:cs="Times New Roman"/>
        <w:kern w:val="0"/>
        <w:lang w:val="ro-RO"/>
        <w14:ligatures w14:val="none"/>
      </w:rPr>
    </w:pPr>
    <w:r>
      <w:rPr>
        <w:noProof/>
      </w:rPr>
      <w:drawing>
        <wp:inline distT="0" distB="0" distL="0" distR="0" wp14:anchorId="2B7153BA" wp14:editId="01533B20">
          <wp:extent cx="5731510" cy="431553"/>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43155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D0D34D" w14:textId="77777777" w:rsidR="00807F59" w:rsidRDefault="00807F59" w:rsidP="00156BD4">
      <w:pPr>
        <w:spacing w:after="0" w:line="240" w:lineRule="auto"/>
      </w:pPr>
      <w:r>
        <w:separator/>
      </w:r>
    </w:p>
  </w:footnote>
  <w:footnote w:type="continuationSeparator" w:id="0">
    <w:p w14:paraId="0EE8EC06" w14:textId="77777777" w:rsidR="00807F59" w:rsidRDefault="00807F59" w:rsidP="00156BD4">
      <w:pPr>
        <w:spacing w:after="0" w:line="240" w:lineRule="auto"/>
      </w:pPr>
      <w:r>
        <w:continuationSeparator/>
      </w:r>
    </w:p>
  </w:footnote>
  <w:footnote w:type="continuationNotice" w:id="1">
    <w:p w14:paraId="357F01F6" w14:textId="77777777" w:rsidR="00807F59" w:rsidRDefault="00807F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A01FF" w14:textId="6F97985F" w:rsidR="009C7C06" w:rsidRPr="009C7C06" w:rsidRDefault="009C7C06" w:rsidP="009C7C06">
    <w:pPr>
      <w:pStyle w:val="Header"/>
    </w:pPr>
    <w:r w:rsidRPr="00DD02B8">
      <w:rPr>
        <w:noProof/>
        <w:lang w:eastAsia="ro-RO"/>
      </w:rPr>
      <w:drawing>
        <wp:inline distT="0" distB="0" distL="0" distR="0" wp14:anchorId="25BD57F2" wp14:editId="04D245D8">
          <wp:extent cx="5731510" cy="680427"/>
          <wp:effectExtent l="0" t="0" r="254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8042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24BC8" w14:textId="2C5F2E37" w:rsidR="00DE644D" w:rsidRPr="007B0852" w:rsidRDefault="0050153E">
    <w:pPr>
      <w:pStyle w:val="Header"/>
    </w:pPr>
    <w:r w:rsidRPr="00DD02B8">
      <w:rPr>
        <w:noProof/>
        <w:lang w:eastAsia="ro-RO"/>
      </w:rPr>
      <w:drawing>
        <wp:inline distT="0" distB="0" distL="0" distR="0" wp14:anchorId="5A7CB4DE" wp14:editId="4CB81C4B">
          <wp:extent cx="5731510" cy="680427"/>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80427"/>
                  </a:xfrm>
                  <a:prstGeom prst="rect">
                    <a:avLst/>
                  </a:prstGeom>
                  <a:noFill/>
                  <a:ln>
                    <a:noFill/>
                  </a:ln>
                </pic:spPr>
              </pic:pic>
            </a:graphicData>
          </a:graphic>
        </wp:inline>
      </w:drawing>
    </w:r>
  </w:p>
  <w:p w14:paraId="62D4FDD3" w14:textId="77777777" w:rsidR="00F52E1E" w:rsidRPr="007B0852" w:rsidRDefault="00F52E1E">
    <w:pPr>
      <w:pStyle w:val="Header"/>
    </w:pPr>
  </w:p>
  <w:p w14:paraId="33034371" w14:textId="77777777" w:rsidR="00F52E1E" w:rsidRPr="007B0852" w:rsidRDefault="00F52E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950E1F"/>
    <w:multiLevelType w:val="hybridMultilevel"/>
    <w:tmpl w:val="56C07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825DD1"/>
    <w:multiLevelType w:val="hybridMultilevel"/>
    <w:tmpl w:val="08E0CA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58067D0"/>
    <w:multiLevelType w:val="hybridMultilevel"/>
    <w:tmpl w:val="AE08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9F0357"/>
    <w:multiLevelType w:val="hybridMultilevel"/>
    <w:tmpl w:val="DDACB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6E6FC8"/>
    <w:multiLevelType w:val="hybridMultilevel"/>
    <w:tmpl w:val="08E0CAF2"/>
    <w:lvl w:ilvl="0" w:tplc="220CB3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A9"/>
    <w:rsid w:val="000000A9"/>
    <w:rsid w:val="00000542"/>
    <w:rsid w:val="00002DB0"/>
    <w:rsid w:val="00004378"/>
    <w:rsid w:val="00012FBE"/>
    <w:rsid w:val="0001528E"/>
    <w:rsid w:val="0001581F"/>
    <w:rsid w:val="00023342"/>
    <w:rsid w:val="00027AF3"/>
    <w:rsid w:val="0003287C"/>
    <w:rsid w:val="00034ACB"/>
    <w:rsid w:val="0004243F"/>
    <w:rsid w:val="00047F04"/>
    <w:rsid w:val="000535A3"/>
    <w:rsid w:val="000546D1"/>
    <w:rsid w:val="00055553"/>
    <w:rsid w:val="000627A0"/>
    <w:rsid w:val="00063F9F"/>
    <w:rsid w:val="0007165E"/>
    <w:rsid w:val="00077008"/>
    <w:rsid w:val="000805EA"/>
    <w:rsid w:val="00082328"/>
    <w:rsid w:val="00093B89"/>
    <w:rsid w:val="000A21AC"/>
    <w:rsid w:val="000B1C33"/>
    <w:rsid w:val="000B54DC"/>
    <w:rsid w:val="000B7697"/>
    <w:rsid w:val="000C086E"/>
    <w:rsid w:val="000C31B9"/>
    <w:rsid w:val="000C4004"/>
    <w:rsid w:val="000C4202"/>
    <w:rsid w:val="000C4C4E"/>
    <w:rsid w:val="000C5ECF"/>
    <w:rsid w:val="000D1B95"/>
    <w:rsid w:val="000E6546"/>
    <w:rsid w:val="000E770A"/>
    <w:rsid w:val="000F4621"/>
    <w:rsid w:val="000F6947"/>
    <w:rsid w:val="000F7E56"/>
    <w:rsid w:val="001011E1"/>
    <w:rsid w:val="00102E64"/>
    <w:rsid w:val="00106BDC"/>
    <w:rsid w:val="00107B94"/>
    <w:rsid w:val="00107D84"/>
    <w:rsid w:val="00112B93"/>
    <w:rsid w:val="00114094"/>
    <w:rsid w:val="0012110C"/>
    <w:rsid w:val="00125AE1"/>
    <w:rsid w:val="001342FF"/>
    <w:rsid w:val="0013547E"/>
    <w:rsid w:val="00135DAA"/>
    <w:rsid w:val="00143B58"/>
    <w:rsid w:val="001471D7"/>
    <w:rsid w:val="00150072"/>
    <w:rsid w:val="001555BA"/>
    <w:rsid w:val="00155A3A"/>
    <w:rsid w:val="00156BD4"/>
    <w:rsid w:val="0015736E"/>
    <w:rsid w:val="0016696B"/>
    <w:rsid w:val="0017627F"/>
    <w:rsid w:val="00177F89"/>
    <w:rsid w:val="001814A3"/>
    <w:rsid w:val="001826CD"/>
    <w:rsid w:val="001835E0"/>
    <w:rsid w:val="001838F7"/>
    <w:rsid w:val="0018604F"/>
    <w:rsid w:val="001879CA"/>
    <w:rsid w:val="0019050B"/>
    <w:rsid w:val="00193E8F"/>
    <w:rsid w:val="00193F65"/>
    <w:rsid w:val="001A24A4"/>
    <w:rsid w:val="001A44F2"/>
    <w:rsid w:val="001B2814"/>
    <w:rsid w:val="001B34C2"/>
    <w:rsid w:val="001B4C43"/>
    <w:rsid w:val="001B7AA8"/>
    <w:rsid w:val="001B7F2A"/>
    <w:rsid w:val="001C08B4"/>
    <w:rsid w:val="001C1730"/>
    <w:rsid w:val="001C3E4E"/>
    <w:rsid w:val="001D234E"/>
    <w:rsid w:val="001D5496"/>
    <w:rsid w:val="001E479E"/>
    <w:rsid w:val="001E68E8"/>
    <w:rsid w:val="001E692F"/>
    <w:rsid w:val="001F3ABE"/>
    <w:rsid w:val="001F55A4"/>
    <w:rsid w:val="002016E9"/>
    <w:rsid w:val="002025D5"/>
    <w:rsid w:val="0020359A"/>
    <w:rsid w:val="00206E2D"/>
    <w:rsid w:val="00210DC6"/>
    <w:rsid w:val="0021534E"/>
    <w:rsid w:val="00216914"/>
    <w:rsid w:val="00217A92"/>
    <w:rsid w:val="00221745"/>
    <w:rsid w:val="00222E17"/>
    <w:rsid w:val="002243AC"/>
    <w:rsid w:val="002246DD"/>
    <w:rsid w:val="00225487"/>
    <w:rsid w:val="00225A72"/>
    <w:rsid w:val="00232679"/>
    <w:rsid w:val="0024302B"/>
    <w:rsid w:val="002447C1"/>
    <w:rsid w:val="0024567D"/>
    <w:rsid w:val="00246697"/>
    <w:rsid w:val="00251180"/>
    <w:rsid w:val="0025167D"/>
    <w:rsid w:val="00255B33"/>
    <w:rsid w:val="00256A00"/>
    <w:rsid w:val="00264430"/>
    <w:rsid w:val="0027183D"/>
    <w:rsid w:val="0027398E"/>
    <w:rsid w:val="00274626"/>
    <w:rsid w:val="00276583"/>
    <w:rsid w:val="002801CC"/>
    <w:rsid w:val="00283F7D"/>
    <w:rsid w:val="002A316B"/>
    <w:rsid w:val="002B1866"/>
    <w:rsid w:val="002B1DEC"/>
    <w:rsid w:val="002B2308"/>
    <w:rsid w:val="002C244C"/>
    <w:rsid w:val="002C549B"/>
    <w:rsid w:val="002C5B91"/>
    <w:rsid w:val="002C6DCA"/>
    <w:rsid w:val="002D1788"/>
    <w:rsid w:val="002D1F97"/>
    <w:rsid w:val="002D51BC"/>
    <w:rsid w:val="002E5849"/>
    <w:rsid w:val="002E70A3"/>
    <w:rsid w:val="002F10E6"/>
    <w:rsid w:val="002F4800"/>
    <w:rsid w:val="002F5B29"/>
    <w:rsid w:val="00305BD1"/>
    <w:rsid w:val="003065A3"/>
    <w:rsid w:val="00310C51"/>
    <w:rsid w:val="00312382"/>
    <w:rsid w:val="003129F9"/>
    <w:rsid w:val="00317E3F"/>
    <w:rsid w:val="003201CC"/>
    <w:rsid w:val="0032294E"/>
    <w:rsid w:val="00322BC8"/>
    <w:rsid w:val="00323E2C"/>
    <w:rsid w:val="00325235"/>
    <w:rsid w:val="00332554"/>
    <w:rsid w:val="00337848"/>
    <w:rsid w:val="00343E46"/>
    <w:rsid w:val="00344103"/>
    <w:rsid w:val="00344887"/>
    <w:rsid w:val="0034550B"/>
    <w:rsid w:val="0034708E"/>
    <w:rsid w:val="00347BDE"/>
    <w:rsid w:val="00351B5E"/>
    <w:rsid w:val="00354225"/>
    <w:rsid w:val="00354B92"/>
    <w:rsid w:val="00365219"/>
    <w:rsid w:val="003666A0"/>
    <w:rsid w:val="003720B9"/>
    <w:rsid w:val="00373531"/>
    <w:rsid w:val="003742D8"/>
    <w:rsid w:val="00381229"/>
    <w:rsid w:val="00381B2C"/>
    <w:rsid w:val="0038355F"/>
    <w:rsid w:val="0039039C"/>
    <w:rsid w:val="00394701"/>
    <w:rsid w:val="003975F3"/>
    <w:rsid w:val="003A3AE6"/>
    <w:rsid w:val="003A61A8"/>
    <w:rsid w:val="003B391E"/>
    <w:rsid w:val="003C1B01"/>
    <w:rsid w:val="003C2F31"/>
    <w:rsid w:val="003D3BB2"/>
    <w:rsid w:val="003D3D66"/>
    <w:rsid w:val="003E5E15"/>
    <w:rsid w:val="003F63B8"/>
    <w:rsid w:val="00407B4C"/>
    <w:rsid w:val="00410F75"/>
    <w:rsid w:val="004218C0"/>
    <w:rsid w:val="00425A3A"/>
    <w:rsid w:val="00435459"/>
    <w:rsid w:val="00437FA0"/>
    <w:rsid w:val="0044311D"/>
    <w:rsid w:val="00443537"/>
    <w:rsid w:val="0044424A"/>
    <w:rsid w:val="00447166"/>
    <w:rsid w:val="00451ACD"/>
    <w:rsid w:val="00455E81"/>
    <w:rsid w:val="00456272"/>
    <w:rsid w:val="00460DFD"/>
    <w:rsid w:val="00461A0E"/>
    <w:rsid w:val="00465474"/>
    <w:rsid w:val="00467D11"/>
    <w:rsid w:val="004703A9"/>
    <w:rsid w:val="00473B9B"/>
    <w:rsid w:val="00481CB7"/>
    <w:rsid w:val="004860F5"/>
    <w:rsid w:val="00486821"/>
    <w:rsid w:val="0048754C"/>
    <w:rsid w:val="00494B8C"/>
    <w:rsid w:val="004A1BD8"/>
    <w:rsid w:val="004A292E"/>
    <w:rsid w:val="004A631A"/>
    <w:rsid w:val="004B03A1"/>
    <w:rsid w:val="004C0400"/>
    <w:rsid w:val="004C3657"/>
    <w:rsid w:val="004C45C4"/>
    <w:rsid w:val="004C6712"/>
    <w:rsid w:val="004D1A65"/>
    <w:rsid w:val="004D2F45"/>
    <w:rsid w:val="004D475D"/>
    <w:rsid w:val="004F695B"/>
    <w:rsid w:val="0050153E"/>
    <w:rsid w:val="00502596"/>
    <w:rsid w:val="00504BFF"/>
    <w:rsid w:val="0051763C"/>
    <w:rsid w:val="005224B0"/>
    <w:rsid w:val="005226A9"/>
    <w:rsid w:val="005234D7"/>
    <w:rsid w:val="00523916"/>
    <w:rsid w:val="005239A2"/>
    <w:rsid w:val="00523BE7"/>
    <w:rsid w:val="00527480"/>
    <w:rsid w:val="00530933"/>
    <w:rsid w:val="00532810"/>
    <w:rsid w:val="00534C9A"/>
    <w:rsid w:val="0055078B"/>
    <w:rsid w:val="00553E14"/>
    <w:rsid w:val="00554436"/>
    <w:rsid w:val="0055687D"/>
    <w:rsid w:val="00560551"/>
    <w:rsid w:val="0056315E"/>
    <w:rsid w:val="005705A7"/>
    <w:rsid w:val="00570843"/>
    <w:rsid w:val="0057295D"/>
    <w:rsid w:val="005744FB"/>
    <w:rsid w:val="00574545"/>
    <w:rsid w:val="00584D2A"/>
    <w:rsid w:val="00587EDC"/>
    <w:rsid w:val="0059071F"/>
    <w:rsid w:val="00591032"/>
    <w:rsid w:val="005918F9"/>
    <w:rsid w:val="00592BB2"/>
    <w:rsid w:val="00594B97"/>
    <w:rsid w:val="00595B77"/>
    <w:rsid w:val="00597A65"/>
    <w:rsid w:val="005A505E"/>
    <w:rsid w:val="005A790D"/>
    <w:rsid w:val="005A7FDB"/>
    <w:rsid w:val="005B5096"/>
    <w:rsid w:val="005B70BA"/>
    <w:rsid w:val="005B7B46"/>
    <w:rsid w:val="005C1E7A"/>
    <w:rsid w:val="005C2C1E"/>
    <w:rsid w:val="005C3400"/>
    <w:rsid w:val="005C3965"/>
    <w:rsid w:val="005C6554"/>
    <w:rsid w:val="005C797D"/>
    <w:rsid w:val="005D0087"/>
    <w:rsid w:val="005D0948"/>
    <w:rsid w:val="005D1746"/>
    <w:rsid w:val="005D3121"/>
    <w:rsid w:val="005F4D47"/>
    <w:rsid w:val="005F7688"/>
    <w:rsid w:val="00601E74"/>
    <w:rsid w:val="00605C6C"/>
    <w:rsid w:val="0061027D"/>
    <w:rsid w:val="0061693C"/>
    <w:rsid w:val="00620D98"/>
    <w:rsid w:val="0062528B"/>
    <w:rsid w:val="00631563"/>
    <w:rsid w:val="0063183C"/>
    <w:rsid w:val="00635B53"/>
    <w:rsid w:val="00643520"/>
    <w:rsid w:val="00644DDC"/>
    <w:rsid w:val="00645DE1"/>
    <w:rsid w:val="006474FF"/>
    <w:rsid w:val="00654AFE"/>
    <w:rsid w:val="00657873"/>
    <w:rsid w:val="00660EF0"/>
    <w:rsid w:val="0066721E"/>
    <w:rsid w:val="0067347B"/>
    <w:rsid w:val="00673C6A"/>
    <w:rsid w:val="0067742B"/>
    <w:rsid w:val="00680076"/>
    <w:rsid w:val="006805CF"/>
    <w:rsid w:val="006817A7"/>
    <w:rsid w:val="0068533C"/>
    <w:rsid w:val="00686C70"/>
    <w:rsid w:val="006878D7"/>
    <w:rsid w:val="0069180E"/>
    <w:rsid w:val="00695467"/>
    <w:rsid w:val="00696ED3"/>
    <w:rsid w:val="006A005E"/>
    <w:rsid w:val="006A30CF"/>
    <w:rsid w:val="006B0D1D"/>
    <w:rsid w:val="006C2272"/>
    <w:rsid w:val="006D54C4"/>
    <w:rsid w:val="006E3FCF"/>
    <w:rsid w:val="006F3BCF"/>
    <w:rsid w:val="006F6351"/>
    <w:rsid w:val="006F6C3B"/>
    <w:rsid w:val="0070057D"/>
    <w:rsid w:val="007018CA"/>
    <w:rsid w:val="0071041D"/>
    <w:rsid w:val="0071203A"/>
    <w:rsid w:val="00714144"/>
    <w:rsid w:val="007265C3"/>
    <w:rsid w:val="00730D8D"/>
    <w:rsid w:val="00732A2F"/>
    <w:rsid w:val="0073405F"/>
    <w:rsid w:val="00737269"/>
    <w:rsid w:val="00742069"/>
    <w:rsid w:val="00743ADB"/>
    <w:rsid w:val="00745757"/>
    <w:rsid w:val="00746109"/>
    <w:rsid w:val="0074627D"/>
    <w:rsid w:val="007608A3"/>
    <w:rsid w:val="00765082"/>
    <w:rsid w:val="00767662"/>
    <w:rsid w:val="00767FF4"/>
    <w:rsid w:val="00782F42"/>
    <w:rsid w:val="00792795"/>
    <w:rsid w:val="00792B25"/>
    <w:rsid w:val="00792D7E"/>
    <w:rsid w:val="00797004"/>
    <w:rsid w:val="007B0852"/>
    <w:rsid w:val="007B3A84"/>
    <w:rsid w:val="007B50A5"/>
    <w:rsid w:val="007B615A"/>
    <w:rsid w:val="007C0CAB"/>
    <w:rsid w:val="007C612C"/>
    <w:rsid w:val="007D1666"/>
    <w:rsid w:val="007D40A9"/>
    <w:rsid w:val="007D7091"/>
    <w:rsid w:val="007E1B16"/>
    <w:rsid w:val="007E30A5"/>
    <w:rsid w:val="007E3382"/>
    <w:rsid w:val="007E4EEC"/>
    <w:rsid w:val="007E6617"/>
    <w:rsid w:val="007F2DBD"/>
    <w:rsid w:val="007F6089"/>
    <w:rsid w:val="007F6A2D"/>
    <w:rsid w:val="00807613"/>
    <w:rsid w:val="00807DD6"/>
    <w:rsid w:val="00807F59"/>
    <w:rsid w:val="00811EBB"/>
    <w:rsid w:val="00812C09"/>
    <w:rsid w:val="00815999"/>
    <w:rsid w:val="00825FCE"/>
    <w:rsid w:val="00826791"/>
    <w:rsid w:val="00827E31"/>
    <w:rsid w:val="0083761B"/>
    <w:rsid w:val="0083796E"/>
    <w:rsid w:val="008410C4"/>
    <w:rsid w:val="0084436A"/>
    <w:rsid w:val="00846293"/>
    <w:rsid w:val="008475F7"/>
    <w:rsid w:val="00853F11"/>
    <w:rsid w:val="00855162"/>
    <w:rsid w:val="00856E02"/>
    <w:rsid w:val="008639FE"/>
    <w:rsid w:val="0086408B"/>
    <w:rsid w:val="00864EC9"/>
    <w:rsid w:val="008746F2"/>
    <w:rsid w:val="008766CC"/>
    <w:rsid w:val="00885EF6"/>
    <w:rsid w:val="00891485"/>
    <w:rsid w:val="00892566"/>
    <w:rsid w:val="0089275E"/>
    <w:rsid w:val="00892A78"/>
    <w:rsid w:val="008A0A47"/>
    <w:rsid w:val="008A12C4"/>
    <w:rsid w:val="008B1B95"/>
    <w:rsid w:val="008B2293"/>
    <w:rsid w:val="008B416A"/>
    <w:rsid w:val="008C6007"/>
    <w:rsid w:val="008D194E"/>
    <w:rsid w:val="008D2CAA"/>
    <w:rsid w:val="008D542D"/>
    <w:rsid w:val="008D7119"/>
    <w:rsid w:val="008E7061"/>
    <w:rsid w:val="008E7D0E"/>
    <w:rsid w:val="008F1A52"/>
    <w:rsid w:val="008F1F87"/>
    <w:rsid w:val="008F65F3"/>
    <w:rsid w:val="009137EA"/>
    <w:rsid w:val="00920F92"/>
    <w:rsid w:val="009217C3"/>
    <w:rsid w:val="009302F1"/>
    <w:rsid w:val="009317FA"/>
    <w:rsid w:val="00931F5B"/>
    <w:rsid w:val="009325C2"/>
    <w:rsid w:val="00934E1E"/>
    <w:rsid w:val="00941116"/>
    <w:rsid w:val="009440F2"/>
    <w:rsid w:val="00951363"/>
    <w:rsid w:val="009526B4"/>
    <w:rsid w:val="009572DF"/>
    <w:rsid w:val="00965FD9"/>
    <w:rsid w:val="0097117E"/>
    <w:rsid w:val="00973C13"/>
    <w:rsid w:val="00977DB9"/>
    <w:rsid w:val="00981FA1"/>
    <w:rsid w:val="00984660"/>
    <w:rsid w:val="00990090"/>
    <w:rsid w:val="00991C9D"/>
    <w:rsid w:val="00993951"/>
    <w:rsid w:val="009B0A42"/>
    <w:rsid w:val="009B39EA"/>
    <w:rsid w:val="009B4232"/>
    <w:rsid w:val="009B43F7"/>
    <w:rsid w:val="009B756E"/>
    <w:rsid w:val="009B7C00"/>
    <w:rsid w:val="009C229A"/>
    <w:rsid w:val="009C69E1"/>
    <w:rsid w:val="009C7C06"/>
    <w:rsid w:val="009C7C73"/>
    <w:rsid w:val="009D13B4"/>
    <w:rsid w:val="009D319C"/>
    <w:rsid w:val="009E0852"/>
    <w:rsid w:val="009E0EB8"/>
    <w:rsid w:val="009E182C"/>
    <w:rsid w:val="009F19AF"/>
    <w:rsid w:val="00A00B9E"/>
    <w:rsid w:val="00A05969"/>
    <w:rsid w:val="00A05E01"/>
    <w:rsid w:val="00A13853"/>
    <w:rsid w:val="00A16986"/>
    <w:rsid w:val="00A30C23"/>
    <w:rsid w:val="00A31096"/>
    <w:rsid w:val="00A4515D"/>
    <w:rsid w:val="00A52828"/>
    <w:rsid w:val="00A53E79"/>
    <w:rsid w:val="00A5658C"/>
    <w:rsid w:val="00A57D64"/>
    <w:rsid w:val="00A64AE9"/>
    <w:rsid w:val="00A67501"/>
    <w:rsid w:val="00A73CED"/>
    <w:rsid w:val="00A827A8"/>
    <w:rsid w:val="00A9507B"/>
    <w:rsid w:val="00A97FEA"/>
    <w:rsid w:val="00AA3A66"/>
    <w:rsid w:val="00AB1769"/>
    <w:rsid w:val="00AB1C9A"/>
    <w:rsid w:val="00AB1FA3"/>
    <w:rsid w:val="00AC2A07"/>
    <w:rsid w:val="00AC3DF7"/>
    <w:rsid w:val="00AC5A7C"/>
    <w:rsid w:val="00AC6203"/>
    <w:rsid w:val="00AD1E1B"/>
    <w:rsid w:val="00AD5C7B"/>
    <w:rsid w:val="00AD6C5C"/>
    <w:rsid w:val="00AD6C91"/>
    <w:rsid w:val="00AE7643"/>
    <w:rsid w:val="00AF2AC5"/>
    <w:rsid w:val="00AF3AAE"/>
    <w:rsid w:val="00AF6B4D"/>
    <w:rsid w:val="00AF7384"/>
    <w:rsid w:val="00AF79A1"/>
    <w:rsid w:val="00B00692"/>
    <w:rsid w:val="00B07014"/>
    <w:rsid w:val="00B16675"/>
    <w:rsid w:val="00B210CB"/>
    <w:rsid w:val="00B221E4"/>
    <w:rsid w:val="00B22DA8"/>
    <w:rsid w:val="00B23837"/>
    <w:rsid w:val="00B23EED"/>
    <w:rsid w:val="00B27ED7"/>
    <w:rsid w:val="00B32D99"/>
    <w:rsid w:val="00B34185"/>
    <w:rsid w:val="00B4079F"/>
    <w:rsid w:val="00B44693"/>
    <w:rsid w:val="00B459BA"/>
    <w:rsid w:val="00B46070"/>
    <w:rsid w:val="00B471B4"/>
    <w:rsid w:val="00B57BBA"/>
    <w:rsid w:val="00B61674"/>
    <w:rsid w:val="00B618EF"/>
    <w:rsid w:val="00B64E83"/>
    <w:rsid w:val="00B657E3"/>
    <w:rsid w:val="00B7079A"/>
    <w:rsid w:val="00B7096B"/>
    <w:rsid w:val="00B7492D"/>
    <w:rsid w:val="00B855B5"/>
    <w:rsid w:val="00B856C0"/>
    <w:rsid w:val="00B87153"/>
    <w:rsid w:val="00B91EB6"/>
    <w:rsid w:val="00B93594"/>
    <w:rsid w:val="00B96963"/>
    <w:rsid w:val="00B97819"/>
    <w:rsid w:val="00BA134A"/>
    <w:rsid w:val="00BA2C1A"/>
    <w:rsid w:val="00BA6A3F"/>
    <w:rsid w:val="00BB15E0"/>
    <w:rsid w:val="00BC110F"/>
    <w:rsid w:val="00BC2AAB"/>
    <w:rsid w:val="00BD0DE6"/>
    <w:rsid w:val="00BD5172"/>
    <w:rsid w:val="00BD643D"/>
    <w:rsid w:val="00BD76A9"/>
    <w:rsid w:val="00BE1892"/>
    <w:rsid w:val="00BE7264"/>
    <w:rsid w:val="00C00D96"/>
    <w:rsid w:val="00C0152A"/>
    <w:rsid w:val="00C02F02"/>
    <w:rsid w:val="00C066C4"/>
    <w:rsid w:val="00C10477"/>
    <w:rsid w:val="00C10E3B"/>
    <w:rsid w:val="00C13830"/>
    <w:rsid w:val="00C1410B"/>
    <w:rsid w:val="00C16241"/>
    <w:rsid w:val="00C16383"/>
    <w:rsid w:val="00C16D89"/>
    <w:rsid w:val="00C24F46"/>
    <w:rsid w:val="00C25252"/>
    <w:rsid w:val="00C26297"/>
    <w:rsid w:val="00C3776E"/>
    <w:rsid w:val="00C41F08"/>
    <w:rsid w:val="00C43A7B"/>
    <w:rsid w:val="00C4784E"/>
    <w:rsid w:val="00C651AE"/>
    <w:rsid w:val="00C65A2A"/>
    <w:rsid w:val="00C71410"/>
    <w:rsid w:val="00C7699F"/>
    <w:rsid w:val="00C77370"/>
    <w:rsid w:val="00C836E1"/>
    <w:rsid w:val="00C91CE3"/>
    <w:rsid w:val="00C925FA"/>
    <w:rsid w:val="00C93218"/>
    <w:rsid w:val="00CA02CD"/>
    <w:rsid w:val="00CA1D19"/>
    <w:rsid w:val="00CA3B96"/>
    <w:rsid w:val="00CA40D0"/>
    <w:rsid w:val="00CA52AE"/>
    <w:rsid w:val="00CA5CFA"/>
    <w:rsid w:val="00CA61EC"/>
    <w:rsid w:val="00CB766E"/>
    <w:rsid w:val="00CC21CE"/>
    <w:rsid w:val="00CC3B37"/>
    <w:rsid w:val="00CC47F3"/>
    <w:rsid w:val="00CC4B45"/>
    <w:rsid w:val="00CC7FC9"/>
    <w:rsid w:val="00CD1AF8"/>
    <w:rsid w:val="00CD1E18"/>
    <w:rsid w:val="00CD5E81"/>
    <w:rsid w:val="00CE1B96"/>
    <w:rsid w:val="00CE5942"/>
    <w:rsid w:val="00CE6DD0"/>
    <w:rsid w:val="00CE78BE"/>
    <w:rsid w:val="00CF2403"/>
    <w:rsid w:val="00CF27C5"/>
    <w:rsid w:val="00CF4B25"/>
    <w:rsid w:val="00D01603"/>
    <w:rsid w:val="00D0504E"/>
    <w:rsid w:val="00D1010A"/>
    <w:rsid w:val="00D130DB"/>
    <w:rsid w:val="00D14F2C"/>
    <w:rsid w:val="00D163C2"/>
    <w:rsid w:val="00D179FF"/>
    <w:rsid w:val="00D2193A"/>
    <w:rsid w:val="00D310B1"/>
    <w:rsid w:val="00D311A6"/>
    <w:rsid w:val="00D349DA"/>
    <w:rsid w:val="00D42E8F"/>
    <w:rsid w:val="00D42F5C"/>
    <w:rsid w:val="00D45F54"/>
    <w:rsid w:val="00D46401"/>
    <w:rsid w:val="00D47557"/>
    <w:rsid w:val="00D500C7"/>
    <w:rsid w:val="00D566E6"/>
    <w:rsid w:val="00D6099E"/>
    <w:rsid w:val="00D60F46"/>
    <w:rsid w:val="00D630E5"/>
    <w:rsid w:val="00D630F2"/>
    <w:rsid w:val="00D65FF3"/>
    <w:rsid w:val="00D670E6"/>
    <w:rsid w:val="00D80AD6"/>
    <w:rsid w:val="00D81706"/>
    <w:rsid w:val="00D8178F"/>
    <w:rsid w:val="00D818AC"/>
    <w:rsid w:val="00D902A7"/>
    <w:rsid w:val="00D90E73"/>
    <w:rsid w:val="00D923B7"/>
    <w:rsid w:val="00D92D7E"/>
    <w:rsid w:val="00D939DD"/>
    <w:rsid w:val="00D9602B"/>
    <w:rsid w:val="00DA2AD8"/>
    <w:rsid w:val="00DA36DE"/>
    <w:rsid w:val="00DA3EE7"/>
    <w:rsid w:val="00DA48CE"/>
    <w:rsid w:val="00DA4F0B"/>
    <w:rsid w:val="00DB5DCF"/>
    <w:rsid w:val="00DB66B9"/>
    <w:rsid w:val="00DB6B9E"/>
    <w:rsid w:val="00DB784D"/>
    <w:rsid w:val="00DC1B74"/>
    <w:rsid w:val="00DC7C8E"/>
    <w:rsid w:val="00DD087D"/>
    <w:rsid w:val="00DD66D3"/>
    <w:rsid w:val="00DE23E9"/>
    <w:rsid w:val="00DE57A2"/>
    <w:rsid w:val="00DE644D"/>
    <w:rsid w:val="00DE7EF9"/>
    <w:rsid w:val="00DE7F2A"/>
    <w:rsid w:val="00DF429E"/>
    <w:rsid w:val="00DF521C"/>
    <w:rsid w:val="00E041FE"/>
    <w:rsid w:val="00E14AE5"/>
    <w:rsid w:val="00E3701D"/>
    <w:rsid w:val="00E4340F"/>
    <w:rsid w:val="00E46A6D"/>
    <w:rsid w:val="00E503E5"/>
    <w:rsid w:val="00E51A43"/>
    <w:rsid w:val="00E533F0"/>
    <w:rsid w:val="00E53F27"/>
    <w:rsid w:val="00E55425"/>
    <w:rsid w:val="00E5600E"/>
    <w:rsid w:val="00E5799B"/>
    <w:rsid w:val="00E62683"/>
    <w:rsid w:val="00E66106"/>
    <w:rsid w:val="00E6733E"/>
    <w:rsid w:val="00E6747D"/>
    <w:rsid w:val="00E73085"/>
    <w:rsid w:val="00E7492D"/>
    <w:rsid w:val="00E74B1C"/>
    <w:rsid w:val="00E7513E"/>
    <w:rsid w:val="00E75FBC"/>
    <w:rsid w:val="00E835D7"/>
    <w:rsid w:val="00E87D78"/>
    <w:rsid w:val="00E917FA"/>
    <w:rsid w:val="00E97C4B"/>
    <w:rsid w:val="00E97D01"/>
    <w:rsid w:val="00EA1FD5"/>
    <w:rsid w:val="00EA639F"/>
    <w:rsid w:val="00EA7DF0"/>
    <w:rsid w:val="00EB40DC"/>
    <w:rsid w:val="00EB4631"/>
    <w:rsid w:val="00EB6E10"/>
    <w:rsid w:val="00EC0B25"/>
    <w:rsid w:val="00EC1180"/>
    <w:rsid w:val="00EC29DB"/>
    <w:rsid w:val="00EC4F92"/>
    <w:rsid w:val="00EC5F34"/>
    <w:rsid w:val="00ED4342"/>
    <w:rsid w:val="00ED617A"/>
    <w:rsid w:val="00EE1D5B"/>
    <w:rsid w:val="00EE5ED2"/>
    <w:rsid w:val="00EE7BD3"/>
    <w:rsid w:val="00EF5814"/>
    <w:rsid w:val="00F01768"/>
    <w:rsid w:val="00F0227C"/>
    <w:rsid w:val="00F04003"/>
    <w:rsid w:val="00F0542D"/>
    <w:rsid w:val="00F160B3"/>
    <w:rsid w:val="00F1744F"/>
    <w:rsid w:val="00F17464"/>
    <w:rsid w:val="00F21468"/>
    <w:rsid w:val="00F263DC"/>
    <w:rsid w:val="00F31229"/>
    <w:rsid w:val="00F315C0"/>
    <w:rsid w:val="00F4431A"/>
    <w:rsid w:val="00F45586"/>
    <w:rsid w:val="00F467C8"/>
    <w:rsid w:val="00F52E1E"/>
    <w:rsid w:val="00F53354"/>
    <w:rsid w:val="00F55D4C"/>
    <w:rsid w:val="00F572C5"/>
    <w:rsid w:val="00F6121C"/>
    <w:rsid w:val="00F65A66"/>
    <w:rsid w:val="00F65F3E"/>
    <w:rsid w:val="00F702E9"/>
    <w:rsid w:val="00F72EFA"/>
    <w:rsid w:val="00F80B45"/>
    <w:rsid w:val="00F87F67"/>
    <w:rsid w:val="00F93A7F"/>
    <w:rsid w:val="00FA0C56"/>
    <w:rsid w:val="00FA61DD"/>
    <w:rsid w:val="00FB0F0B"/>
    <w:rsid w:val="00FB153B"/>
    <w:rsid w:val="00FB53D8"/>
    <w:rsid w:val="00FB60BC"/>
    <w:rsid w:val="00FC4C49"/>
    <w:rsid w:val="00FC5706"/>
    <w:rsid w:val="00FC6541"/>
    <w:rsid w:val="00FC7C04"/>
    <w:rsid w:val="00FD0CF9"/>
    <w:rsid w:val="00FD1A8D"/>
    <w:rsid w:val="00FD64F4"/>
    <w:rsid w:val="00FD6784"/>
    <w:rsid w:val="00FE5B12"/>
    <w:rsid w:val="00FE6E15"/>
    <w:rsid w:val="00FF1251"/>
    <w:rsid w:val="00FF28A9"/>
    <w:rsid w:val="00FF3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4164B"/>
  <w15:chartTrackingRefBased/>
  <w15:docId w15:val="{E111165E-EFFB-4393-AA21-3554561A4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4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43A7B"/>
    <w:rPr>
      <w:sz w:val="16"/>
      <w:szCs w:val="16"/>
    </w:rPr>
  </w:style>
  <w:style w:type="paragraph" w:styleId="CommentText">
    <w:name w:val="annotation text"/>
    <w:basedOn w:val="Normal"/>
    <w:link w:val="CommentTextChar"/>
    <w:uiPriority w:val="99"/>
    <w:unhideWhenUsed/>
    <w:qFormat/>
    <w:rsid w:val="00C43A7B"/>
    <w:pPr>
      <w:spacing w:line="240" w:lineRule="auto"/>
    </w:pPr>
    <w:rPr>
      <w:sz w:val="20"/>
      <w:szCs w:val="20"/>
    </w:rPr>
  </w:style>
  <w:style w:type="character" w:customStyle="1" w:styleId="CommentTextChar">
    <w:name w:val="Comment Text Char"/>
    <w:basedOn w:val="DefaultParagraphFont"/>
    <w:link w:val="CommentText"/>
    <w:uiPriority w:val="99"/>
    <w:qFormat/>
    <w:rsid w:val="00C43A7B"/>
    <w:rPr>
      <w:sz w:val="20"/>
      <w:szCs w:val="20"/>
    </w:rPr>
  </w:style>
  <w:style w:type="paragraph" w:styleId="CommentSubject">
    <w:name w:val="annotation subject"/>
    <w:basedOn w:val="CommentText"/>
    <w:next w:val="CommentText"/>
    <w:link w:val="CommentSubjectChar"/>
    <w:uiPriority w:val="99"/>
    <w:semiHidden/>
    <w:unhideWhenUsed/>
    <w:rsid w:val="00C43A7B"/>
    <w:rPr>
      <w:b/>
      <w:bCs/>
    </w:rPr>
  </w:style>
  <w:style w:type="character" w:customStyle="1" w:styleId="CommentSubjectChar">
    <w:name w:val="Comment Subject Char"/>
    <w:basedOn w:val="CommentTextChar"/>
    <w:link w:val="CommentSubject"/>
    <w:uiPriority w:val="99"/>
    <w:semiHidden/>
    <w:rsid w:val="00C43A7B"/>
    <w:rPr>
      <w:b/>
      <w:bCs/>
      <w:sz w:val="20"/>
      <w:szCs w:val="20"/>
    </w:rPr>
  </w:style>
  <w:style w:type="paragraph" w:styleId="Header">
    <w:name w:val="header"/>
    <w:basedOn w:val="Normal"/>
    <w:link w:val="HeaderChar"/>
    <w:unhideWhenUsed/>
    <w:rsid w:val="00156BD4"/>
    <w:pPr>
      <w:tabs>
        <w:tab w:val="center" w:pos="4680"/>
        <w:tab w:val="right" w:pos="9360"/>
      </w:tabs>
      <w:spacing w:after="0" w:line="240" w:lineRule="auto"/>
    </w:pPr>
  </w:style>
  <w:style w:type="character" w:customStyle="1" w:styleId="HeaderChar">
    <w:name w:val="Header Char"/>
    <w:basedOn w:val="DefaultParagraphFont"/>
    <w:link w:val="Header"/>
    <w:rsid w:val="00156BD4"/>
  </w:style>
  <w:style w:type="paragraph" w:styleId="Footer">
    <w:name w:val="footer"/>
    <w:basedOn w:val="Normal"/>
    <w:link w:val="FooterChar"/>
    <w:uiPriority w:val="99"/>
    <w:unhideWhenUsed/>
    <w:rsid w:val="00156B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BD4"/>
  </w:style>
  <w:style w:type="character" w:customStyle="1" w:styleId="cf01">
    <w:name w:val="cf01"/>
    <w:basedOn w:val="DefaultParagraphFont"/>
    <w:rsid w:val="003129F9"/>
    <w:rPr>
      <w:rFonts w:ascii="Segoe UI" w:hAnsi="Segoe UI" w:cs="Segoe UI" w:hint="default"/>
      <w:sz w:val="18"/>
      <w:szCs w:val="18"/>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75FBC"/>
    <w:pPr>
      <w:ind w:left="720"/>
      <w:contextualSpacing/>
    </w:pPr>
  </w:style>
  <w:style w:type="paragraph" w:styleId="Revision">
    <w:name w:val="Revision"/>
    <w:hidden/>
    <w:uiPriority w:val="99"/>
    <w:semiHidden/>
    <w:rsid w:val="00AE7643"/>
    <w:pPr>
      <w:spacing w:after="0" w:line="240" w:lineRule="auto"/>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qFormat/>
    <w:locked/>
    <w:rsid w:val="00410F75"/>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410F75"/>
    <w:pPr>
      <w:spacing w:after="0" w:line="240" w:lineRule="auto"/>
    </w:pPr>
    <w:rPr>
      <w:kern w:val="0"/>
      <w:sz w:val="20"/>
      <w:szCs w:val="20"/>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410F75"/>
    <w:rPr>
      <w:kern w:val="0"/>
      <w:sz w:val="20"/>
      <w:szCs w:val="20"/>
      <w14:ligatures w14:val="none"/>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basedOn w:val="DefaultParagraphFont"/>
    <w:link w:val="BVIfnrChar1Char"/>
    <w:unhideWhenUsed/>
    <w:qFormat/>
    <w:rsid w:val="00410F7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410F75"/>
    <w:pPr>
      <w:spacing w:line="240" w:lineRule="exact"/>
    </w:pPr>
    <w:rPr>
      <w:vertAlign w:val="superscript"/>
    </w:rPr>
  </w:style>
  <w:style w:type="character" w:customStyle="1" w:styleId="normaltextrun">
    <w:name w:val="normaltextrun"/>
    <w:basedOn w:val="DefaultParagraphFont"/>
    <w:rsid w:val="00CA3B96"/>
  </w:style>
  <w:style w:type="character" w:customStyle="1" w:styleId="eop">
    <w:name w:val="eop"/>
    <w:basedOn w:val="DefaultParagraphFont"/>
    <w:rsid w:val="00CA3B96"/>
  </w:style>
  <w:style w:type="character" w:styleId="PageNumber">
    <w:name w:val="page number"/>
    <w:basedOn w:val="DefaultParagraphFont"/>
    <w:rsid w:val="00DE644D"/>
  </w:style>
  <w:style w:type="character" w:customStyle="1" w:styleId="Style1">
    <w:name w:val="Style1"/>
    <w:basedOn w:val="DefaultParagraphFont"/>
    <w:uiPriority w:val="1"/>
    <w:rsid w:val="00106BD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71115">
      <w:bodyDiv w:val="1"/>
      <w:marLeft w:val="0"/>
      <w:marRight w:val="0"/>
      <w:marTop w:val="0"/>
      <w:marBottom w:val="0"/>
      <w:divBdr>
        <w:top w:val="none" w:sz="0" w:space="0" w:color="auto"/>
        <w:left w:val="none" w:sz="0" w:space="0" w:color="auto"/>
        <w:bottom w:val="none" w:sz="0" w:space="0" w:color="auto"/>
        <w:right w:val="none" w:sz="0" w:space="0" w:color="auto"/>
      </w:divBdr>
    </w:div>
    <w:div w:id="429087921">
      <w:bodyDiv w:val="1"/>
      <w:marLeft w:val="0"/>
      <w:marRight w:val="0"/>
      <w:marTop w:val="0"/>
      <w:marBottom w:val="0"/>
      <w:divBdr>
        <w:top w:val="none" w:sz="0" w:space="0" w:color="auto"/>
        <w:left w:val="none" w:sz="0" w:space="0" w:color="auto"/>
        <w:bottom w:val="none" w:sz="0" w:space="0" w:color="auto"/>
        <w:right w:val="none" w:sz="0" w:space="0" w:color="auto"/>
      </w:divBdr>
    </w:div>
    <w:div w:id="502595803">
      <w:bodyDiv w:val="1"/>
      <w:marLeft w:val="0"/>
      <w:marRight w:val="0"/>
      <w:marTop w:val="0"/>
      <w:marBottom w:val="0"/>
      <w:divBdr>
        <w:top w:val="none" w:sz="0" w:space="0" w:color="auto"/>
        <w:left w:val="none" w:sz="0" w:space="0" w:color="auto"/>
        <w:bottom w:val="none" w:sz="0" w:space="0" w:color="auto"/>
        <w:right w:val="none" w:sz="0" w:space="0" w:color="auto"/>
      </w:divBdr>
    </w:div>
    <w:div w:id="553541706">
      <w:bodyDiv w:val="1"/>
      <w:marLeft w:val="0"/>
      <w:marRight w:val="0"/>
      <w:marTop w:val="0"/>
      <w:marBottom w:val="0"/>
      <w:divBdr>
        <w:top w:val="none" w:sz="0" w:space="0" w:color="auto"/>
        <w:left w:val="none" w:sz="0" w:space="0" w:color="auto"/>
        <w:bottom w:val="none" w:sz="0" w:space="0" w:color="auto"/>
        <w:right w:val="none" w:sz="0" w:space="0" w:color="auto"/>
      </w:divBdr>
    </w:div>
    <w:div w:id="596602959">
      <w:bodyDiv w:val="1"/>
      <w:marLeft w:val="0"/>
      <w:marRight w:val="0"/>
      <w:marTop w:val="0"/>
      <w:marBottom w:val="0"/>
      <w:divBdr>
        <w:top w:val="none" w:sz="0" w:space="0" w:color="auto"/>
        <w:left w:val="none" w:sz="0" w:space="0" w:color="auto"/>
        <w:bottom w:val="none" w:sz="0" w:space="0" w:color="auto"/>
        <w:right w:val="none" w:sz="0" w:space="0" w:color="auto"/>
      </w:divBdr>
    </w:div>
    <w:div w:id="756630207">
      <w:bodyDiv w:val="1"/>
      <w:marLeft w:val="0"/>
      <w:marRight w:val="0"/>
      <w:marTop w:val="0"/>
      <w:marBottom w:val="0"/>
      <w:divBdr>
        <w:top w:val="none" w:sz="0" w:space="0" w:color="auto"/>
        <w:left w:val="none" w:sz="0" w:space="0" w:color="auto"/>
        <w:bottom w:val="none" w:sz="0" w:space="0" w:color="auto"/>
        <w:right w:val="none" w:sz="0" w:space="0" w:color="auto"/>
      </w:divBdr>
    </w:div>
    <w:div w:id="866482610">
      <w:bodyDiv w:val="1"/>
      <w:marLeft w:val="0"/>
      <w:marRight w:val="0"/>
      <w:marTop w:val="0"/>
      <w:marBottom w:val="0"/>
      <w:divBdr>
        <w:top w:val="none" w:sz="0" w:space="0" w:color="auto"/>
        <w:left w:val="none" w:sz="0" w:space="0" w:color="auto"/>
        <w:bottom w:val="none" w:sz="0" w:space="0" w:color="auto"/>
        <w:right w:val="none" w:sz="0" w:space="0" w:color="auto"/>
      </w:divBdr>
    </w:div>
    <w:div w:id="907768801">
      <w:bodyDiv w:val="1"/>
      <w:marLeft w:val="0"/>
      <w:marRight w:val="0"/>
      <w:marTop w:val="0"/>
      <w:marBottom w:val="0"/>
      <w:divBdr>
        <w:top w:val="none" w:sz="0" w:space="0" w:color="auto"/>
        <w:left w:val="none" w:sz="0" w:space="0" w:color="auto"/>
        <w:bottom w:val="none" w:sz="0" w:space="0" w:color="auto"/>
        <w:right w:val="none" w:sz="0" w:space="0" w:color="auto"/>
      </w:divBdr>
    </w:div>
    <w:div w:id="1010986123">
      <w:bodyDiv w:val="1"/>
      <w:marLeft w:val="0"/>
      <w:marRight w:val="0"/>
      <w:marTop w:val="0"/>
      <w:marBottom w:val="0"/>
      <w:divBdr>
        <w:top w:val="none" w:sz="0" w:space="0" w:color="auto"/>
        <w:left w:val="none" w:sz="0" w:space="0" w:color="auto"/>
        <w:bottom w:val="none" w:sz="0" w:space="0" w:color="auto"/>
        <w:right w:val="none" w:sz="0" w:space="0" w:color="auto"/>
      </w:divBdr>
    </w:div>
    <w:div w:id="1038971330">
      <w:bodyDiv w:val="1"/>
      <w:marLeft w:val="0"/>
      <w:marRight w:val="0"/>
      <w:marTop w:val="0"/>
      <w:marBottom w:val="0"/>
      <w:divBdr>
        <w:top w:val="none" w:sz="0" w:space="0" w:color="auto"/>
        <w:left w:val="none" w:sz="0" w:space="0" w:color="auto"/>
        <w:bottom w:val="none" w:sz="0" w:space="0" w:color="auto"/>
        <w:right w:val="none" w:sz="0" w:space="0" w:color="auto"/>
      </w:divBdr>
    </w:div>
    <w:div w:id="1053847787">
      <w:bodyDiv w:val="1"/>
      <w:marLeft w:val="0"/>
      <w:marRight w:val="0"/>
      <w:marTop w:val="0"/>
      <w:marBottom w:val="0"/>
      <w:divBdr>
        <w:top w:val="none" w:sz="0" w:space="0" w:color="auto"/>
        <w:left w:val="none" w:sz="0" w:space="0" w:color="auto"/>
        <w:bottom w:val="none" w:sz="0" w:space="0" w:color="auto"/>
        <w:right w:val="none" w:sz="0" w:space="0" w:color="auto"/>
      </w:divBdr>
    </w:div>
    <w:div w:id="1083913735">
      <w:bodyDiv w:val="1"/>
      <w:marLeft w:val="0"/>
      <w:marRight w:val="0"/>
      <w:marTop w:val="0"/>
      <w:marBottom w:val="0"/>
      <w:divBdr>
        <w:top w:val="none" w:sz="0" w:space="0" w:color="auto"/>
        <w:left w:val="none" w:sz="0" w:space="0" w:color="auto"/>
        <w:bottom w:val="none" w:sz="0" w:space="0" w:color="auto"/>
        <w:right w:val="none" w:sz="0" w:space="0" w:color="auto"/>
      </w:divBdr>
    </w:div>
    <w:div w:id="1206062640">
      <w:bodyDiv w:val="1"/>
      <w:marLeft w:val="0"/>
      <w:marRight w:val="0"/>
      <w:marTop w:val="0"/>
      <w:marBottom w:val="0"/>
      <w:divBdr>
        <w:top w:val="none" w:sz="0" w:space="0" w:color="auto"/>
        <w:left w:val="none" w:sz="0" w:space="0" w:color="auto"/>
        <w:bottom w:val="none" w:sz="0" w:space="0" w:color="auto"/>
        <w:right w:val="none" w:sz="0" w:space="0" w:color="auto"/>
      </w:divBdr>
    </w:div>
    <w:div w:id="1224676850">
      <w:bodyDiv w:val="1"/>
      <w:marLeft w:val="0"/>
      <w:marRight w:val="0"/>
      <w:marTop w:val="0"/>
      <w:marBottom w:val="0"/>
      <w:divBdr>
        <w:top w:val="none" w:sz="0" w:space="0" w:color="auto"/>
        <w:left w:val="none" w:sz="0" w:space="0" w:color="auto"/>
        <w:bottom w:val="none" w:sz="0" w:space="0" w:color="auto"/>
        <w:right w:val="none" w:sz="0" w:space="0" w:color="auto"/>
      </w:divBdr>
    </w:div>
    <w:div w:id="1275861707">
      <w:bodyDiv w:val="1"/>
      <w:marLeft w:val="0"/>
      <w:marRight w:val="0"/>
      <w:marTop w:val="0"/>
      <w:marBottom w:val="0"/>
      <w:divBdr>
        <w:top w:val="none" w:sz="0" w:space="0" w:color="auto"/>
        <w:left w:val="none" w:sz="0" w:space="0" w:color="auto"/>
        <w:bottom w:val="none" w:sz="0" w:space="0" w:color="auto"/>
        <w:right w:val="none" w:sz="0" w:space="0" w:color="auto"/>
      </w:divBdr>
    </w:div>
    <w:div w:id="1295865648">
      <w:bodyDiv w:val="1"/>
      <w:marLeft w:val="0"/>
      <w:marRight w:val="0"/>
      <w:marTop w:val="0"/>
      <w:marBottom w:val="0"/>
      <w:divBdr>
        <w:top w:val="none" w:sz="0" w:space="0" w:color="auto"/>
        <w:left w:val="none" w:sz="0" w:space="0" w:color="auto"/>
        <w:bottom w:val="none" w:sz="0" w:space="0" w:color="auto"/>
        <w:right w:val="none" w:sz="0" w:space="0" w:color="auto"/>
      </w:divBdr>
    </w:div>
    <w:div w:id="1362823653">
      <w:bodyDiv w:val="1"/>
      <w:marLeft w:val="0"/>
      <w:marRight w:val="0"/>
      <w:marTop w:val="0"/>
      <w:marBottom w:val="0"/>
      <w:divBdr>
        <w:top w:val="none" w:sz="0" w:space="0" w:color="auto"/>
        <w:left w:val="none" w:sz="0" w:space="0" w:color="auto"/>
        <w:bottom w:val="none" w:sz="0" w:space="0" w:color="auto"/>
        <w:right w:val="none" w:sz="0" w:space="0" w:color="auto"/>
      </w:divBdr>
    </w:div>
    <w:div w:id="1669602552">
      <w:bodyDiv w:val="1"/>
      <w:marLeft w:val="0"/>
      <w:marRight w:val="0"/>
      <w:marTop w:val="0"/>
      <w:marBottom w:val="0"/>
      <w:divBdr>
        <w:top w:val="none" w:sz="0" w:space="0" w:color="auto"/>
        <w:left w:val="none" w:sz="0" w:space="0" w:color="auto"/>
        <w:bottom w:val="none" w:sz="0" w:space="0" w:color="auto"/>
        <w:right w:val="none" w:sz="0" w:space="0" w:color="auto"/>
      </w:divBdr>
    </w:div>
    <w:div w:id="1716389137">
      <w:bodyDiv w:val="1"/>
      <w:marLeft w:val="0"/>
      <w:marRight w:val="0"/>
      <w:marTop w:val="0"/>
      <w:marBottom w:val="0"/>
      <w:divBdr>
        <w:top w:val="none" w:sz="0" w:space="0" w:color="auto"/>
        <w:left w:val="none" w:sz="0" w:space="0" w:color="auto"/>
        <w:bottom w:val="none" w:sz="0" w:space="0" w:color="auto"/>
        <w:right w:val="none" w:sz="0" w:space="0" w:color="auto"/>
      </w:divBdr>
    </w:div>
    <w:div w:id="1733310389">
      <w:bodyDiv w:val="1"/>
      <w:marLeft w:val="0"/>
      <w:marRight w:val="0"/>
      <w:marTop w:val="0"/>
      <w:marBottom w:val="0"/>
      <w:divBdr>
        <w:top w:val="none" w:sz="0" w:space="0" w:color="auto"/>
        <w:left w:val="none" w:sz="0" w:space="0" w:color="auto"/>
        <w:bottom w:val="none" w:sz="0" w:space="0" w:color="auto"/>
        <w:right w:val="none" w:sz="0" w:space="0" w:color="auto"/>
      </w:divBdr>
    </w:div>
    <w:div w:id="1820731466">
      <w:bodyDiv w:val="1"/>
      <w:marLeft w:val="0"/>
      <w:marRight w:val="0"/>
      <w:marTop w:val="0"/>
      <w:marBottom w:val="0"/>
      <w:divBdr>
        <w:top w:val="none" w:sz="0" w:space="0" w:color="auto"/>
        <w:left w:val="none" w:sz="0" w:space="0" w:color="auto"/>
        <w:bottom w:val="none" w:sz="0" w:space="0" w:color="auto"/>
        <w:right w:val="none" w:sz="0" w:space="0" w:color="auto"/>
      </w:divBdr>
    </w:div>
    <w:div w:id="1875918052">
      <w:bodyDiv w:val="1"/>
      <w:marLeft w:val="0"/>
      <w:marRight w:val="0"/>
      <w:marTop w:val="0"/>
      <w:marBottom w:val="0"/>
      <w:divBdr>
        <w:top w:val="none" w:sz="0" w:space="0" w:color="auto"/>
        <w:left w:val="none" w:sz="0" w:space="0" w:color="auto"/>
        <w:bottom w:val="none" w:sz="0" w:space="0" w:color="auto"/>
        <w:right w:val="none" w:sz="0" w:space="0" w:color="auto"/>
      </w:divBdr>
    </w:div>
    <w:div w:id="1981808700">
      <w:bodyDiv w:val="1"/>
      <w:marLeft w:val="0"/>
      <w:marRight w:val="0"/>
      <w:marTop w:val="0"/>
      <w:marBottom w:val="0"/>
      <w:divBdr>
        <w:top w:val="none" w:sz="0" w:space="0" w:color="auto"/>
        <w:left w:val="none" w:sz="0" w:space="0" w:color="auto"/>
        <w:bottom w:val="none" w:sz="0" w:space="0" w:color="auto"/>
        <w:right w:val="none" w:sz="0" w:space="0" w:color="auto"/>
      </w:divBdr>
    </w:div>
    <w:div w:id="2022006235">
      <w:bodyDiv w:val="1"/>
      <w:marLeft w:val="0"/>
      <w:marRight w:val="0"/>
      <w:marTop w:val="0"/>
      <w:marBottom w:val="0"/>
      <w:divBdr>
        <w:top w:val="none" w:sz="0" w:space="0" w:color="auto"/>
        <w:left w:val="none" w:sz="0" w:space="0" w:color="auto"/>
        <w:bottom w:val="none" w:sz="0" w:space="0" w:color="auto"/>
        <w:right w:val="none" w:sz="0" w:space="0" w:color="auto"/>
      </w:divBdr>
    </w:div>
    <w:div w:id="210660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2B03E0-82DF-4D8C-9F93-6AA8B8F98374}">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82090D7E-90D2-431B-A338-92AF4022BCC6}">
  <ds:schemaRefs>
    <ds:schemaRef ds:uri="http://schemas.microsoft.com/sharepoint/v3/contenttype/forms"/>
  </ds:schemaRefs>
</ds:datastoreItem>
</file>

<file path=customXml/itemProps3.xml><?xml version="1.0" encoding="utf-8"?>
<ds:datastoreItem xmlns:ds="http://schemas.openxmlformats.org/officeDocument/2006/customXml" ds:itemID="{732AB423-E72C-449F-8AE0-22270837973E}">
  <ds:schemaRefs>
    <ds:schemaRef ds:uri="http://schemas.openxmlformats.org/officeDocument/2006/bibliography"/>
  </ds:schemaRefs>
</ds:datastoreItem>
</file>

<file path=customXml/itemProps4.xml><?xml version="1.0" encoding="utf-8"?>
<ds:datastoreItem xmlns:ds="http://schemas.openxmlformats.org/officeDocument/2006/customXml" ds:itemID="{42B7A8E7-7F50-4D46-B263-679F46199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1682</Words>
  <Characters>9589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Sargov</dc:creator>
  <cp:keywords/>
  <dc:description/>
  <cp:lastModifiedBy>Jenica Craciun</cp:lastModifiedBy>
  <cp:revision>54</cp:revision>
  <cp:lastPrinted>2023-07-27T23:38:00Z</cp:lastPrinted>
  <dcterms:created xsi:type="dcterms:W3CDTF">2025-05-29T06:03:00Z</dcterms:created>
  <dcterms:modified xsi:type="dcterms:W3CDTF">2025-07-29T10:35:00Z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y fmtid="{D5CDD505-2E9C-101B-9397-08002B2CF9AE}" pid="4" name="GrammarlyDocumentId">
    <vt:lpwstr>33683cc7fc982fa3ecd53fc086c254be7c5bcfdde6f985498a7797c23667cee3</vt:lpwstr>
  </property>
</Properties>
</file>