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4A0" w:firstRow="1" w:lastRow="0" w:firstColumn="1" w:lastColumn="0" w:noHBand="0" w:noVBand="1"/>
      </w:tblPr>
      <w:tblGrid>
        <w:gridCol w:w="8041"/>
        <w:gridCol w:w="1156"/>
      </w:tblGrid>
      <w:tr w:rsidR="008A2D61" w14:paraId="6C34E3F8" w14:textId="77777777" w:rsidTr="008A2D61">
        <w:trPr>
          <w:gridAfter w:val="1"/>
          <w:wAfter w:w="1156" w:type="dxa"/>
        </w:trPr>
        <w:tc>
          <w:tcPr>
            <w:tcW w:w="8041" w:type="dxa"/>
            <w:tcBorders>
              <w:top w:val="nil"/>
              <w:left w:val="nil"/>
              <w:bottom w:val="single" w:sz="4" w:space="0" w:color="333333"/>
              <w:right w:val="nil"/>
            </w:tcBorders>
          </w:tcPr>
          <w:p w14:paraId="47A625E1" w14:textId="77777777" w:rsidR="008A2D61" w:rsidRDefault="008A2D61">
            <w:pPr>
              <w:pStyle w:val="Header"/>
              <w:tabs>
                <w:tab w:val="clear" w:pos="4536"/>
                <w:tab w:val="left" w:pos="5295"/>
              </w:tabs>
              <w:rPr>
                <w:rFonts w:asciiTheme="majorHAnsi" w:hAnsiTheme="majorHAnsi" w:cstheme="majorHAnsi"/>
                <w:color w:val="000000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</w:rPr>
              <w:t>Programul</w:t>
            </w:r>
            <w:proofErr w:type="spellEnd"/>
            <w:r>
              <w:rPr>
                <w:rFonts w:asciiTheme="majorHAnsi" w:hAnsiTheme="majorHAnsi" w:cstheme="majorHAnsi"/>
                <w:color w:val="000000"/>
              </w:rPr>
              <w:t xml:space="preserve"> Regional Sud-Est 2021-2027</w:t>
            </w:r>
            <w:r>
              <w:rPr>
                <w:rFonts w:asciiTheme="majorHAnsi" w:hAnsiTheme="majorHAnsi" w:cstheme="majorHAnsi"/>
                <w:color w:val="000000"/>
              </w:rPr>
              <w:tab/>
            </w:r>
          </w:p>
          <w:p w14:paraId="4C080F04" w14:textId="77777777" w:rsidR="008A2D61" w:rsidRDefault="008A2D61">
            <w:pPr>
              <w:pStyle w:val="Header"/>
              <w:rPr>
                <w:rFonts w:asciiTheme="majorHAnsi" w:hAnsiTheme="majorHAnsi" w:cstheme="majorHAnsi"/>
                <w:color w:val="333333"/>
              </w:rPr>
            </w:pPr>
          </w:p>
        </w:tc>
      </w:tr>
      <w:tr w:rsidR="008A2D61" w14:paraId="47D0EA3A" w14:textId="77777777" w:rsidTr="008A2D61">
        <w:trPr>
          <w:cantSplit/>
        </w:trPr>
        <w:tc>
          <w:tcPr>
            <w:tcW w:w="9197" w:type="dxa"/>
            <w:gridSpan w:val="2"/>
            <w:tcBorders>
              <w:top w:val="single" w:sz="4" w:space="0" w:color="333333"/>
              <w:left w:val="nil"/>
              <w:bottom w:val="nil"/>
              <w:right w:val="nil"/>
            </w:tcBorders>
            <w:hideMark/>
          </w:tcPr>
          <w:p w14:paraId="441A80ED" w14:textId="3E6A4E9C" w:rsidR="008A2D61" w:rsidRDefault="008542C0" w:rsidP="008542C0">
            <w:pPr>
              <w:pStyle w:val="Header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Ghidul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Solicitantului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– Condiții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specifice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accesare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a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fondurilor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în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cadrul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apelurilor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 w:rsidRPr="008542C0">
              <w:rPr>
                <w:rFonts w:asciiTheme="majorHAnsi" w:hAnsiTheme="majorHAnsi" w:cstheme="majorHAnsi"/>
                <w:bCs/>
                <w:color w:val="000000"/>
              </w:rPr>
              <w:t>proiecte</w:t>
            </w:r>
            <w:proofErr w:type="spellEnd"/>
            <w:r w:rsidRPr="008542C0">
              <w:rPr>
                <w:rFonts w:asciiTheme="majorHAnsi" w:hAnsiTheme="majorHAnsi" w:cstheme="majorHAnsi"/>
                <w:bCs/>
                <w:color w:val="000000"/>
              </w:rPr>
              <w:t xml:space="preserve"> PRSE/3.1/1.1/1/ITI/2025, PRSE/3.1/1.2/1/ITI/2025</w:t>
            </w:r>
          </w:p>
        </w:tc>
      </w:tr>
    </w:tbl>
    <w:p w14:paraId="55CEA9B5" w14:textId="4B12ACA3" w:rsidR="00203482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675D111" w14:textId="77777777" w:rsidR="008A2D61" w:rsidRPr="009506A1" w:rsidRDefault="008A2D61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7EAD7485" w:rsidR="00203482" w:rsidRPr="009B1D70" w:rsidRDefault="00F738BC" w:rsidP="00F738BC">
      <w:pPr>
        <w:tabs>
          <w:tab w:val="left" w:pos="7751"/>
          <w:tab w:val="right" w:pos="9027"/>
        </w:tabs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proofErr w:type="spellStart"/>
      <w:r w:rsidR="00621EA9"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="00621EA9" w:rsidRPr="009B1D70">
        <w:rPr>
          <w:rFonts w:asciiTheme="majorHAnsi" w:hAnsiTheme="majorHAnsi" w:cstheme="majorHAnsi"/>
          <w:b/>
          <w:bCs/>
        </w:rPr>
        <w:t xml:space="preserve"> </w:t>
      </w:r>
      <w:r w:rsidR="00046CFE">
        <w:rPr>
          <w:rFonts w:asciiTheme="majorHAnsi" w:hAnsiTheme="majorHAnsi" w:cstheme="majorHAnsi"/>
          <w:b/>
          <w:bCs/>
        </w:rPr>
        <w:t>9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A180887" w:rsidR="00166250" w:rsidRPr="002F5A95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  <w:r w:rsidRPr="002F5A95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6857CE42" w14:textId="77777777" w:rsidR="002F5A95" w:rsidRPr="002F5A95" w:rsidRDefault="002F5A95" w:rsidP="002F5A95">
      <w:pPr>
        <w:spacing w:before="120" w:after="120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2F5A95">
        <w:rPr>
          <w:rFonts w:asciiTheme="majorHAnsi" w:hAnsiTheme="majorHAnsi" w:cstheme="majorHAnsi"/>
          <w:b/>
          <w:lang w:val="ro-RO"/>
        </w:rPr>
        <w:t xml:space="preserve">STUDIULUI DE FEZABILITATE </w:t>
      </w:r>
    </w:p>
    <w:p w14:paraId="550506BF" w14:textId="38ED91F0" w:rsidR="00166250" w:rsidRPr="002F5A95" w:rsidRDefault="002F5A95" w:rsidP="002F5A95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2F5A95">
        <w:rPr>
          <w:rFonts w:asciiTheme="majorHAnsi" w:hAnsiTheme="majorHAnsi" w:cstheme="majorHAnsi"/>
          <w:bCs w:val="0"/>
          <w:sz w:val="22"/>
          <w:szCs w:val="22"/>
        </w:rPr>
        <w:t xml:space="preserve">CU ELEMENTE DE </w:t>
      </w:r>
      <w:r w:rsidR="00166250" w:rsidRPr="002F5A95">
        <w:rPr>
          <w:rFonts w:asciiTheme="majorHAnsi" w:hAnsiTheme="majorHAnsi" w:cstheme="majorHAnsi"/>
          <w:sz w:val="22"/>
          <w:szCs w:val="22"/>
        </w:rPr>
        <w:t xml:space="preserve">DOCUMENTAŢIE DE AVIZARE A 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CAC4316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23AB95F5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71076A">
              <w:rPr>
                <w:rFonts w:asciiTheme="majorHAnsi" w:hAnsiTheme="majorHAnsi" w:cstheme="majorHAnsi"/>
                <w:i/>
                <w:iCs/>
                <w:lang w:val="ro-RO"/>
              </w:rPr>
              <w:t>SF cu elemente de DALI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49E5C84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</w:t>
            </w:r>
            <w:r w:rsidR="0071076A">
              <w:rPr>
                <w:rFonts w:asciiTheme="majorHAnsi" w:hAnsiTheme="majorHAnsi" w:cstheme="majorHAnsi"/>
                <w:i/>
                <w:lang w:val="ro-RO"/>
              </w:rPr>
              <w:t>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A5023F8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A030435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160F4D6B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60C54EC0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0C6B125D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02AC41DF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2567B173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496E2024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conține costuri aferente tuturor intervențiilor cuprinse în </w:t>
            </w:r>
            <w:r w:rsidR="002C70EE">
              <w:rPr>
                <w:rFonts w:asciiTheme="majorHAnsi" w:hAnsiTheme="majorHAnsi" w:cstheme="majorHAnsi"/>
                <w:lang w:val="ro-RO"/>
              </w:rPr>
              <w:t xml:space="preserve">SF cu elemente de </w:t>
            </w:r>
            <w:r w:rsidRPr="00FC14B3">
              <w:rPr>
                <w:rFonts w:asciiTheme="majorHAnsi" w:hAnsiTheme="majorHAnsi" w:cstheme="majorHAnsi"/>
                <w:lang w:val="ro-RO"/>
              </w:rPr>
              <w:t>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14678EA2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</w:t>
      </w:r>
      <w:r w:rsidR="002F5A95">
        <w:rPr>
          <w:rFonts w:asciiTheme="majorHAnsi" w:hAnsiTheme="majorHAnsi" w:cstheme="majorHAnsi"/>
          <w:b/>
          <w:i/>
          <w:iCs/>
        </w:rPr>
        <w:t xml:space="preserve">SF cu </w:t>
      </w:r>
      <w:proofErr w:type="spellStart"/>
      <w:r w:rsidR="002F5A95">
        <w:rPr>
          <w:rFonts w:asciiTheme="majorHAnsi" w:hAnsiTheme="majorHAnsi" w:cstheme="majorHAnsi"/>
          <w:b/>
          <w:i/>
          <w:iCs/>
        </w:rPr>
        <w:t>elemente</w:t>
      </w:r>
      <w:proofErr w:type="spellEnd"/>
      <w:r w:rsidR="002F5A95">
        <w:rPr>
          <w:rFonts w:asciiTheme="majorHAnsi" w:hAnsiTheme="majorHAnsi" w:cstheme="majorHAnsi"/>
          <w:b/>
          <w:i/>
          <w:iCs/>
        </w:rPr>
        <w:t xml:space="preserve"> de </w:t>
      </w:r>
      <w:r w:rsidRPr="00FC14B3">
        <w:rPr>
          <w:rFonts w:asciiTheme="majorHAnsi" w:hAnsiTheme="majorHAnsi" w:cstheme="majorHAnsi"/>
          <w:b/>
          <w:i/>
          <w:iCs/>
        </w:rPr>
        <w:t>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5C3D3034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</w:t>
            </w:r>
            <w:r w:rsidR="002F5A95">
              <w:rPr>
                <w:rFonts w:asciiTheme="majorHAnsi" w:hAnsiTheme="majorHAnsi" w:cstheme="majorHAnsi"/>
                <w:lang w:val="ro-RO"/>
              </w:rPr>
              <w:t xml:space="preserve">SF cu elemente de </w:t>
            </w:r>
            <w:r w:rsidRPr="00FC14B3">
              <w:rPr>
                <w:rFonts w:asciiTheme="majorHAnsi" w:hAnsiTheme="majorHAnsi" w:cstheme="majorHAnsi"/>
                <w:lang w:val="ro-RO"/>
              </w:rPr>
              <w:t>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39DB5620" w:rsidR="00166250" w:rsidRDefault="002F5A95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ajorHAnsi" w:hAnsiTheme="majorHAnsi" w:cstheme="majorHAnsi"/>
                <w:lang w:val="ro-RO"/>
              </w:rPr>
              <w:t>SF cu elemente de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="00166250" w:rsidRPr="00FC14B3">
              <w:rPr>
                <w:rFonts w:asciiTheme="majorHAnsi" w:hAnsiTheme="majorHAnsi" w:cstheme="majorHAnsi"/>
                <w:lang w:val="ro-RO"/>
              </w:rPr>
              <w:t>DALI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12D3EBBD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2C70EE">
        <w:rPr>
          <w:rFonts w:asciiTheme="majorHAnsi" w:hAnsiTheme="majorHAnsi" w:cstheme="majorHAnsi"/>
          <w:b/>
          <w:bCs/>
          <w:lang w:val="ro-RO"/>
        </w:rPr>
        <w:t xml:space="preserve">SF cu elemente de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conform/neconform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D881C" w14:textId="77777777" w:rsidR="00D26F91" w:rsidRDefault="00D26F91" w:rsidP="00203482">
      <w:pPr>
        <w:spacing w:after="0" w:line="240" w:lineRule="auto"/>
      </w:pPr>
      <w:r>
        <w:separator/>
      </w:r>
    </w:p>
  </w:endnote>
  <w:endnote w:type="continuationSeparator" w:id="0">
    <w:p w14:paraId="4A2C72FF" w14:textId="77777777" w:rsidR="00D26F91" w:rsidRDefault="00D26F9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D15FC" w14:textId="77777777" w:rsidR="00D26F91" w:rsidRDefault="00D26F91" w:rsidP="00203482">
      <w:pPr>
        <w:spacing w:after="0" w:line="240" w:lineRule="auto"/>
      </w:pPr>
      <w:r>
        <w:separator/>
      </w:r>
    </w:p>
  </w:footnote>
  <w:footnote w:type="continuationSeparator" w:id="0">
    <w:p w14:paraId="3D4186D7" w14:textId="77777777" w:rsidR="00D26F91" w:rsidRDefault="00D26F9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654999">
    <w:abstractNumId w:val="25"/>
  </w:num>
  <w:num w:numId="2" w16cid:durableId="1867131433">
    <w:abstractNumId w:val="20"/>
  </w:num>
  <w:num w:numId="3" w16cid:durableId="1837257273">
    <w:abstractNumId w:val="23"/>
  </w:num>
  <w:num w:numId="4" w16cid:durableId="1837719195">
    <w:abstractNumId w:val="21"/>
  </w:num>
  <w:num w:numId="5" w16cid:durableId="41558125">
    <w:abstractNumId w:val="5"/>
  </w:num>
  <w:num w:numId="6" w16cid:durableId="1754008545">
    <w:abstractNumId w:val="24"/>
  </w:num>
  <w:num w:numId="7" w16cid:durableId="784884001">
    <w:abstractNumId w:val="8"/>
  </w:num>
  <w:num w:numId="8" w16cid:durableId="689649223">
    <w:abstractNumId w:val="14"/>
  </w:num>
  <w:num w:numId="9" w16cid:durableId="1103839294">
    <w:abstractNumId w:val="18"/>
  </w:num>
  <w:num w:numId="10" w16cid:durableId="1999261064">
    <w:abstractNumId w:val="28"/>
  </w:num>
  <w:num w:numId="11" w16cid:durableId="879980280">
    <w:abstractNumId w:val="17"/>
  </w:num>
  <w:num w:numId="12" w16cid:durableId="1309550702">
    <w:abstractNumId w:val="4"/>
  </w:num>
  <w:num w:numId="13" w16cid:durableId="605691822">
    <w:abstractNumId w:val="0"/>
  </w:num>
  <w:num w:numId="14" w16cid:durableId="1243298668">
    <w:abstractNumId w:val="7"/>
  </w:num>
  <w:num w:numId="15" w16cid:durableId="1176530253">
    <w:abstractNumId w:val="27"/>
  </w:num>
  <w:num w:numId="16" w16cid:durableId="1385831176">
    <w:abstractNumId w:val="26"/>
  </w:num>
  <w:num w:numId="17" w16cid:durableId="762066749">
    <w:abstractNumId w:val="1"/>
  </w:num>
  <w:num w:numId="18" w16cid:durableId="309790275">
    <w:abstractNumId w:val="12"/>
  </w:num>
  <w:num w:numId="19" w16cid:durableId="2140488539">
    <w:abstractNumId w:val="2"/>
  </w:num>
  <w:num w:numId="20" w16cid:durableId="1627467782">
    <w:abstractNumId w:val="3"/>
  </w:num>
  <w:num w:numId="21" w16cid:durableId="160589646">
    <w:abstractNumId w:val="13"/>
  </w:num>
  <w:num w:numId="22" w16cid:durableId="1180243632">
    <w:abstractNumId w:val="6"/>
  </w:num>
  <w:num w:numId="23" w16cid:durableId="433675782">
    <w:abstractNumId w:val="22"/>
  </w:num>
  <w:num w:numId="24" w16cid:durableId="359939566">
    <w:abstractNumId w:val="15"/>
  </w:num>
  <w:num w:numId="25" w16cid:durableId="1719403204">
    <w:abstractNumId w:val="10"/>
  </w:num>
  <w:num w:numId="26" w16cid:durableId="313143073">
    <w:abstractNumId w:val="19"/>
  </w:num>
  <w:num w:numId="27" w16cid:durableId="1792435459">
    <w:abstractNumId w:val="16"/>
  </w:num>
  <w:num w:numId="28" w16cid:durableId="1588881649">
    <w:abstractNumId w:val="11"/>
  </w:num>
  <w:num w:numId="29" w16cid:durableId="901283591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46CFE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48E0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C70EE"/>
    <w:rsid w:val="002E3E4D"/>
    <w:rsid w:val="002F3816"/>
    <w:rsid w:val="002F56FC"/>
    <w:rsid w:val="002F57F2"/>
    <w:rsid w:val="002F5A95"/>
    <w:rsid w:val="00301DC8"/>
    <w:rsid w:val="00303750"/>
    <w:rsid w:val="00305DAC"/>
    <w:rsid w:val="00313D5B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4A86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076A"/>
    <w:rsid w:val="00715079"/>
    <w:rsid w:val="007240FA"/>
    <w:rsid w:val="00724FA8"/>
    <w:rsid w:val="00726D66"/>
    <w:rsid w:val="007273F4"/>
    <w:rsid w:val="00732DBD"/>
    <w:rsid w:val="00735801"/>
    <w:rsid w:val="00740488"/>
    <w:rsid w:val="00741E1E"/>
    <w:rsid w:val="007472F1"/>
    <w:rsid w:val="00756919"/>
    <w:rsid w:val="007607F3"/>
    <w:rsid w:val="00761C9F"/>
    <w:rsid w:val="00777108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542C0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2D61"/>
    <w:rsid w:val="008A6397"/>
    <w:rsid w:val="008B0C56"/>
    <w:rsid w:val="008B5766"/>
    <w:rsid w:val="008B70FB"/>
    <w:rsid w:val="008C5F6A"/>
    <w:rsid w:val="008C6937"/>
    <w:rsid w:val="008D419C"/>
    <w:rsid w:val="008D49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81F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9220E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26F91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11645"/>
    <w:rsid w:val="00F2513F"/>
    <w:rsid w:val="00F33140"/>
    <w:rsid w:val="00F5260B"/>
    <w:rsid w:val="00F57A30"/>
    <w:rsid w:val="00F704DF"/>
    <w:rsid w:val="00F738BC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F2D63B-31D7-4EEF-900C-9EB9C358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2615</Words>
  <Characters>15172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Ionut Candea</cp:lastModifiedBy>
  <cp:revision>40</cp:revision>
  <cp:lastPrinted>2017-06-21T07:54:00Z</cp:lastPrinted>
  <dcterms:created xsi:type="dcterms:W3CDTF">2023-02-24T08:19:00Z</dcterms:created>
  <dcterms:modified xsi:type="dcterms:W3CDTF">2025-04-22T08:00:00Z</dcterms:modified>
</cp:coreProperties>
</file>