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61ED4" w14:textId="56859050"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Sinteza Raportului de Evaluare PRSE arelul Investiții Teritoriale Integrate Delta Dunării (ITI DD)</w:t>
      </w:r>
    </w:p>
    <w:p w14:paraId="379F50CC" w14:textId="57252194"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Evaluarea ce face obiectul prezentului raport are ca scop furnizarea de informații pentru a susține Autoritatea de Management în realizarea evaluării intermediaire (mid-term review) conform art. 18 din Regulamentul Cadru 1060/2021 în vederea îmbunătățirii Programului Regional Sud-Est și a procesului de implementare a acestuia. </w:t>
      </w:r>
    </w:p>
    <w:p w14:paraId="75EB694A"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Focalizându-se pe patru criterii de evaluare: relevanță, eficacitate, coerență externă și eficiență, evaluarea formulează concluzii și recomandări pentru Autoritatea de Management și alte părți interesate, în vederea îmbunătățirii formelor de sprijin în intervenții similare și într-un context dominat de o dinamică socio-economică în continuă schimbare. </w:t>
      </w:r>
    </w:p>
    <w:p w14:paraId="63332B26"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Aria de acoperire a evaluării este definită intervenții la nivelul Priorității 1-7 aferente arealuluiSumar Executiv Investiții Teritoriale Integrate Delta Dunării (ITI DD). Evaluarea a acoperit perioada de implementare a programului, începând cu data aprobării acestuia, 21 octombrie 2022 până la data de 31 decembrie 2024. </w:t>
      </w:r>
    </w:p>
    <w:p w14:paraId="3D0B46F8"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Aria teritorială de acoperire, respectiv zona geografică acoperită, este reprezentată de întregul teritoriu arealului Deltei Dunării. Teritoriul ITI Delta Dunării este alcătuit din 40 Unitați Administrativ-Teritoriale și  2 consilii județene respectiv Consiliul Județean Tulcea și Consiliul Județean Constanța, 5 orașe și 33 de comune. </w:t>
      </w:r>
    </w:p>
    <w:p w14:paraId="74AE5CBA"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Referitor la dimensiunea teritorială a analizelor, acestea au fost derulate pe toate nivelurile la care se pot colecta date relevante privind efectele ce pot fi atribuite intervenţiei, fiind avut în vedere nivelul local și regional.</w:t>
      </w:r>
    </w:p>
    <w:p w14:paraId="60283418"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Metodologia de evaluare este construită pe cinci întrebări de evaluare formulate în baza rezultatelor și constatăilor obținute cu ocazia desfășurăriii evaluărilor aferente Priorităților 1-7. Metodologia s-a bazat pe o combinație optimă de metode și instrumente de evaluare incluzând: cercetare documentară, interviuri, sondaje, focus grup și ateliere de lucru, studii de caz, panel de experți, metode cantitative de analiză a progresului în implementare. </w:t>
      </w:r>
    </w:p>
    <w:p w14:paraId="0163658C"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Procesul de evaluare a fost afectat de constrângeri de timp, disponibilitatea redusă a beneficiarilor și incidența redusă a proiectelor noi. Majoritatea proiectelor evaluate sunt fie etapizate din perioada anterioară de programare, fie noi dar aflate în faze incipiente, ceea ce a limitat analiza la țintele asumate, în absența unor rezultate efective generate de lipsa contractelor finalizate.</w:t>
      </w:r>
    </w:p>
    <w:p w14:paraId="5D3B63C1"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Programul Regional Sud-Est (PRSE) 2021-2027, alături de celelalte șapte programe regionale, reprezintă o premieră în cadrul Acordului de Parteneriat al României cu Uniunea Europeană, fiind pentru prima dată gestionate la nivel regional în cadrul Politicii de Coeziune. Obiectivul PRSE sprijină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w:t>
      </w:r>
    </w:p>
    <w:p w14:paraId="4A6ED049"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Adoptarea abordării Investiții Teritoriale Integrate (ITI) în Delta Dunării a fost motivată de particularitățile unice ale regiunii, atât din punct de vedere ecologic – fiind o Rezervație a Biosferei UNESCO cu biodiversitate excepțională – cât și socio-economic, caracterizată de accesibilitate redusă, infrastructură deficitară, o economie fragilă și o populație dispersată. .Mecanismul ITI a fost ales pentru a aborda aceste provocări într-un mod integrat, echilibrând protecția mediului cu dezvoltarea durabilă și îmbunătățirea calității vieții.</w:t>
      </w:r>
    </w:p>
    <w:p w14:paraId="1839586A"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Mecanismul ITI DD este structurat pe 15 acțiuni corespunzătoare celor șase priorități de dezvoltare și răspunde unui set de provocări critice identificate la nivelul ITI, ce se împart pe mai multe categorii de nevoi socio-economice ce înglobează transport public de calitate scăzută și infrastructură învechită, clădiri ineficiente energetic, planificare teritorială deficitară, degradarea biosferei și infrastructură turistică precară, existența unui schimb limitat de date între serviciile publice locale. .</w:t>
      </w:r>
    </w:p>
    <w:p w14:paraId="6B019074"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lastRenderedPageBreak/>
        <w:t>Pentru a răspunde acestor nevoi, mecanismul ITI DD a fost structurat pe 6 direcții de intervenție concretizate pe bază de activități, după cum urmează:</w:t>
      </w:r>
    </w:p>
    <w:p w14:paraId="360FA9F4" w14:textId="2C39BE19" w:rsidR="00685B8B" w:rsidRPr="000B788E" w:rsidRDefault="00685B8B" w:rsidP="000B788E">
      <w:pPr>
        <w:pStyle w:val="ListParagraph"/>
        <w:numPr>
          <w:ilvl w:val="0"/>
          <w:numId w:val="1"/>
        </w:numPr>
        <w:spacing w:after="0" w:line="278" w:lineRule="auto"/>
        <w:jc w:val="both"/>
        <w:rPr>
          <w:rFonts w:ascii="Calibri" w:hAnsi="Calibri" w:cs="Calibri"/>
          <w:sz w:val="20"/>
          <w:szCs w:val="20"/>
          <w:lang w:val="ro-RO"/>
        </w:rPr>
      </w:pPr>
      <w:r w:rsidRPr="000B788E">
        <w:rPr>
          <w:rFonts w:ascii="Calibri" w:hAnsi="Calibri" w:cs="Calibri"/>
          <w:sz w:val="20"/>
          <w:szCs w:val="20"/>
          <w:lang w:val="ro-RO"/>
        </w:rPr>
        <w:t>Digitalizarea serviciilor publice locale și sprijinirea sectorului CDI</w:t>
      </w:r>
    </w:p>
    <w:p w14:paraId="11F7BA34" w14:textId="0291BEDA" w:rsidR="00685B8B" w:rsidRPr="000B788E" w:rsidRDefault="00685B8B" w:rsidP="000B788E">
      <w:pPr>
        <w:pStyle w:val="ListParagraph"/>
        <w:numPr>
          <w:ilvl w:val="0"/>
          <w:numId w:val="1"/>
        </w:numPr>
        <w:spacing w:after="0" w:line="278" w:lineRule="auto"/>
        <w:jc w:val="both"/>
        <w:rPr>
          <w:rFonts w:ascii="Calibri" w:hAnsi="Calibri" w:cs="Calibri"/>
          <w:sz w:val="20"/>
          <w:szCs w:val="20"/>
          <w:lang w:val="ro-RO"/>
        </w:rPr>
      </w:pPr>
      <w:r w:rsidRPr="000B788E">
        <w:rPr>
          <w:rFonts w:ascii="Calibri" w:hAnsi="Calibri" w:cs="Calibri"/>
          <w:sz w:val="20"/>
          <w:szCs w:val="20"/>
          <w:lang w:val="ro-RO"/>
        </w:rPr>
        <w:t>Îmbunătățirea eficienței energetice a clădirilor</w:t>
      </w:r>
    </w:p>
    <w:p w14:paraId="67AF1815" w14:textId="154FD76A" w:rsidR="00685B8B" w:rsidRPr="000B788E" w:rsidRDefault="00685B8B" w:rsidP="000B788E">
      <w:pPr>
        <w:pStyle w:val="ListParagraph"/>
        <w:numPr>
          <w:ilvl w:val="0"/>
          <w:numId w:val="1"/>
        </w:numPr>
        <w:spacing w:after="0" w:line="278" w:lineRule="auto"/>
        <w:jc w:val="both"/>
        <w:rPr>
          <w:rFonts w:ascii="Calibri" w:hAnsi="Calibri" w:cs="Calibri"/>
          <w:sz w:val="20"/>
          <w:szCs w:val="20"/>
          <w:lang w:val="ro-RO"/>
        </w:rPr>
      </w:pPr>
      <w:r w:rsidRPr="000B788E">
        <w:rPr>
          <w:rFonts w:ascii="Calibri" w:hAnsi="Calibri" w:cs="Calibri"/>
          <w:sz w:val="20"/>
          <w:szCs w:val="20"/>
          <w:lang w:val="ro-RO"/>
        </w:rPr>
        <w:t>Modernizarea și extinderea serviciilor de transport public</w:t>
      </w:r>
    </w:p>
    <w:p w14:paraId="433BCA80" w14:textId="48BBC99E" w:rsidR="00685B8B" w:rsidRPr="000B788E" w:rsidRDefault="00685B8B" w:rsidP="000B788E">
      <w:pPr>
        <w:pStyle w:val="ListParagraph"/>
        <w:numPr>
          <w:ilvl w:val="0"/>
          <w:numId w:val="1"/>
        </w:numPr>
        <w:spacing w:after="0" w:line="278" w:lineRule="auto"/>
        <w:jc w:val="both"/>
        <w:rPr>
          <w:rFonts w:ascii="Calibri" w:hAnsi="Calibri" w:cs="Calibri"/>
          <w:sz w:val="20"/>
          <w:szCs w:val="20"/>
          <w:lang w:val="ro-RO"/>
        </w:rPr>
      </w:pPr>
      <w:r w:rsidRPr="000B788E">
        <w:rPr>
          <w:rFonts w:ascii="Calibri" w:hAnsi="Calibri" w:cs="Calibri"/>
          <w:sz w:val="20"/>
          <w:szCs w:val="20"/>
          <w:lang w:val="ro-RO"/>
        </w:rPr>
        <w:t>Reabilitarea și modernizarea drumurilor județene conexe zonei ITI DD</w:t>
      </w:r>
    </w:p>
    <w:p w14:paraId="67D4676A" w14:textId="1729E9A1" w:rsidR="00685B8B" w:rsidRPr="000B788E" w:rsidRDefault="00685B8B" w:rsidP="000B788E">
      <w:pPr>
        <w:pStyle w:val="ListParagraph"/>
        <w:numPr>
          <w:ilvl w:val="0"/>
          <w:numId w:val="1"/>
        </w:numPr>
        <w:spacing w:after="0" w:line="278" w:lineRule="auto"/>
        <w:jc w:val="both"/>
        <w:rPr>
          <w:rFonts w:ascii="Calibri" w:hAnsi="Calibri" w:cs="Calibri"/>
          <w:sz w:val="20"/>
          <w:szCs w:val="20"/>
          <w:lang w:val="ro-RO"/>
        </w:rPr>
      </w:pPr>
      <w:r w:rsidRPr="000B788E">
        <w:rPr>
          <w:rFonts w:ascii="Calibri" w:hAnsi="Calibri" w:cs="Calibri"/>
          <w:sz w:val="20"/>
          <w:szCs w:val="20"/>
          <w:lang w:val="ro-RO"/>
        </w:rPr>
        <w:t xml:space="preserve">Dezvoltarea infrastructurii educaționale </w:t>
      </w:r>
    </w:p>
    <w:p w14:paraId="5A904252" w14:textId="6B26FB7B" w:rsidR="00685B8B" w:rsidRPr="000B788E" w:rsidRDefault="00685B8B" w:rsidP="000B788E">
      <w:pPr>
        <w:pStyle w:val="ListParagraph"/>
        <w:numPr>
          <w:ilvl w:val="0"/>
          <w:numId w:val="1"/>
        </w:numPr>
        <w:spacing w:after="0" w:line="278" w:lineRule="auto"/>
        <w:jc w:val="both"/>
        <w:rPr>
          <w:rFonts w:ascii="Calibri" w:hAnsi="Calibri" w:cs="Calibri"/>
          <w:sz w:val="20"/>
          <w:szCs w:val="20"/>
          <w:lang w:val="ro-RO"/>
        </w:rPr>
      </w:pPr>
      <w:r w:rsidRPr="000B788E">
        <w:rPr>
          <w:rFonts w:ascii="Calibri" w:hAnsi="Calibri" w:cs="Calibri"/>
          <w:sz w:val="20"/>
          <w:szCs w:val="20"/>
          <w:lang w:val="ro-RO"/>
        </w:rPr>
        <w:t xml:space="preserve">Dezvoltarea și modernizarea infrastructurii turistice și a patrimoniului cultural </w:t>
      </w:r>
    </w:p>
    <w:p w14:paraId="6B4D2472" w14:textId="263300A2" w:rsidR="00685B8B" w:rsidRPr="000B788E" w:rsidRDefault="00685B8B" w:rsidP="000B788E">
      <w:pPr>
        <w:spacing w:after="0" w:line="278" w:lineRule="auto"/>
        <w:jc w:val="both"/>
        <w:rPr>
          <w:rFonts w:ascii="Calibri" w:hAnsi="Calibri" w:cs="Calibri"/>
          <w:b/>
          <w:bCs/>
          <w:sz w:val="20"/>
          <w:szCs w:val="20"/>
          <w:lang w:val="ro-RO"/>
        </w:rPr>
      </w:pPr>
      <w:r w:rsidRPr="000B788E">
        <w:rPr>
          <w:rFonts w:ascii="Calibri" w:hAnsi="Calibri" w:cs="Calibri"/>
          <w:b/>
          <w:bCs/>
          <w:sz w:val="20"/>
          <w:szCs w:val="20"/>
          <w:lang w:val="ro-RO"/>
        </w:rPr>
        <w:t>Constatări și concluzii ale rezultatelor evaluării</w:t>
      </w:r>
    </w:p>
    <w:p w14:paraId="097C0F65" w14:textId="0DAC1CF3"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Obiectivele, acțiunile și intervențiile implementate în arealul ITI Delta Dunării continuă să fie în mare măsură relevante pentru problemele socio-economice actuale ale regiunii, precum și pentru nevoile identificate în Strategia Integrată de Dezvoltare Durabilă a Deltei Dunării (SIDDDD). Analiza socio-economică actualizată și consultările cu actorii locali confirmă faptul că nu au apărut nevoi noi care să necesite reprioritizarea intervențiilor, iar provocările structurale – precum accesul limitat la servicii și infrastructură, economia slab diversificată, presiunile asupra mediului și izolarea comunităților – persistă.</w:t>
      </w:r>
    </w:p>
    <w:p w14:paraId="77675168"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Intervențiile continuă să răspundă acestor nevoi, adresând aspecte-cheie precum protejarea biodiversității, modernizarea infrastructurii de bază și a serviciilor publice, eficiența energetică, infrastructura educațională și socială, transportul și dezvoltarea turismului durabil. De asemenea, războiul din Ucraina a evidențiat importanța strategică a regiunii și a accentuat necesitatea continuării investițiilor în infrastructura de transport. Astfel direcțiile. Direcțiile strategice stabilite prin SIDDDD rămân valide și prioritare, necesitând continuitate și consolidare pentru a reduce decalajele structurale și a sprijini dezvoltarea sustenabilă a Deltei Dunării.</w:t>
      </w:r>
    </w:p>
    <w:p w14:paraId="51AAFA11"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Din punct de vedere financiar, alocarea pentru perioada 2021–2027 este semnificativ mai redusă decât în perioada anterioară (circa 50% din fondurile disponibile prin POR 2014–2020), într-un context caracterizat de nevoi crescute, generate și de efectele războiului din Ucraina. Deși fondurile sunt direcționate către domenii esențiale (acces la servicii, infrastructură, conectivitate), nivelul actual de alocare a resurselor nu este suficient pentru a sprijini dezvoltarea sustenabilă a regiunii și pentru a reduce disparitățile structurale.</w:t>
      </w:r>
    </w:p>
    <w:p w14:paraId="27483E9C"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Progresul actual al implementării în cadrul ITI Delta Dunării este moderat, cu o contractare de doar 24,8% din totalul alocării disponibile, reflectând o avansare lentă față de obiectivele stabilite. Din cele 129 de contracte semnate la nivelul programului, doar. Doar 19 proiecte contractate sunt aferente arealului ITI DD, în principal pentru proiecte etapizate. Intervențiile contractate sunt concentrate în special pe obiectivele OS2.1, OS4.2 și OS5.1, iar principalele localități beneficiare sunt Municipiul Tulcea și Orașul Isaccea, dar și comunele Nufăru, Greci, Murghiol și orașele Sulina și Măcin, cu valori mai mici contractate.</w:t>
      </w:r>
    </w:p>
    <w:p w14:paraId="1996B7BF"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Deși există un interes ridicat pentru anumite tipuri de investiții – cum ar fi mobilitatea urbană, infrastructura educațională și eficiența energetică – gradulGradul general de contractare variază semnificativ între priorități și obiective specifice. De exemplu, pentru OS5.1 gradul de contractare este de 54%, în timp ce pentru OS5.2 este doar 12%. În același timp, pentru priorități importante precum P1 și OS3.2 din cadrul Priorității 4P4 nu au fost încă lansate apeluri, afectând ritmul de progres al întregului mecanism.</w:t>
      </w:r>
    </w:p>
    <w:p w14:paraId="294B20CF" w14:textId="77777777" w:rsid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Implementarea intervențiilor în arealul ITI Delta Dunării este influențată semnificativafectată de disponibilitatea și adecvarea resurselor resursele financiare, umane, materiale și tehnice. Deși au fost înregistrate progrese importante insuficiente, în organizarea instituțională – prin rolul activ al ciuda progreselor instituționale și a sprijinului oferit de ADI ITI DD în sprijinirea beneficiarilor, coordonarea actorilor locali și furnizarea de consultanță tehnică și administrativă – resursele rămân limitate în raport cu nevoile reale ale regiunii. De asemenea, deși sistemul de </w:t>
      </w:r>
      <w:r w:rsidRPr="000B788E">
        <w:rPr>
          <w:rFonts w:ascii="Calibri" w:hAnsi="Calibri" w:cs="Calibri"/>
          <w:sz w:val="20"/>
          <w:szCs w:val="20"/>
          <w:lang w:val="ro-RO"/>
        </w:rPr>
        <w:lastRenderedPageBreak/>
        <w:t>management a fost îmbunătățit față de perioada de programare anterioară, inclusiv prin extinderea eligibilității investițiilor către mediul rural și zonele umede, dificultățile persistă în rândul beneficiarilor</w:t>
      </w:r>
      <w:r w:rsidR="000B788E">
        <w:rPr>
          <w:rFonts w:ascii="Calibri" w:hAnsi="Calibri" w:cs="Calibri"/>
          <w:sz w:val="20"/>
          <w:szCs w:val="20"/>
          <w:lang w:val="ro-RO"/>
        </w:rPr>
        <w:t xml:space="preserve">. </w:t>
      </w:r>
    </w:p>
    <w:p w14:paraId="03E10587" w14:textId="7CECF39F"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 xml:space="preserve">Capacitatea administrativă scăzută a multor UAT-uri din areal este scăzută, acestea confruntându-se cu lipsa personalului specializat și cu sisteme de lucru depășite. În paralel, echipa ADI ITI DD, deși experimentată, este supraîncărcată de solicitări și nu dispune de suficiente resurse pentru a răspunde integral cererii de sprijin. Accesul, alături de digitalizarea limitată și procesele birocratice complexe, îngreunează accesul la finanțare este îngreunat și de lipsa digitalizării și de procese administrative complexe, ceea ce conduce la întârzieri și dificultăți în implementare. Mecanismele lente de rambursare  ca urmare a  procesului de etapizare ași implementarea proiectelor din POR 2014-2021 și lipsa ajustărilor bugetare rapide în contextul creșterii costurilor pun presiune pe beneficiari, afectând sustenabilitatea implementării.. </w:t>
      </w:r>
    </w:p>
    <w:p w14:paraId="6A9DAE6F"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Problemele recurente în zona achizițiilor publice, precum întârzierile și corecțiile financiare, contribuie la un nivel scăzut de eficiență în derularea investițiilor. Totodată, lipsa sincronizării între apelurile de proiecte din diferite programe operaționale afectează coerența implementării proiectelor integrate.</w:t>
      </w:r>
    </w:p>
    <w:p w14:paraId="3E39C07A"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Pentru a îmbunătăți calitatea implementării Programului Regional Sud-Est (PRSE) în arealul ITI Delta Dunării, sunt necesare o serie de măsuri structurale și operaționale care să vizeze atât consolidarea capacității beneficiarilor, cât și eficientizarea proceselor de management și evaluare.</w:t>
      </w:r>
    </w:p>
    <w:p w14:paraId="4899CE3A" w14:textId="77777777" w:rsidR="00685B8B" w:rsidRPr="000B788E" w:rsidRDefault="00685B8B" w:rsidP="00685B8B">
      <w:pPr>
        <w:jc w:val="both"/>
        <w:rPr>
          <w:rFonts w:ascii="Calibri" w:hAnsi="Calibri" w:cs="Calibri"/>
          <w:sz w:val="20"/>
          <w:szCs w:val="20"/>
          <w:lang w:val="ro-RO"/>
        </w:rPr>
      </w:pPr>
      <w:r w:rsidRPr="000B788E">
        <w:rPr>
          <w:rFonts w:ascii="Calibri" w:hAnsi="Calibri" w:cs="Calibri"/>
          <w:sz w:val="20"/>
          <w:szCs w:val="20"/>
          <w:lang w:val="ro-RO"/>
        </w:rPr>
        <w:t>Printre prioritățile identificate se numără:</w:t>
      </w:r>
    </w:p>
    <w:p w14:paraId="25E5794F" w14:textId="77777777" w:rsidR="003A258B" w:rsidRPr="006E7D2A" w:rsidRDefault="003A258B" w:rsidP="003A258B">
      <w:pPr>
        <w:pStyle w:val="ListParagraph"/>
        <w:numPr>
          <w:ilvl w:val="0"/>
          <w:numId w:val="3"/>
        </w:numPr>
        <w:suppressAutoHyphens/>
        <w:spacing w:before="120" w:after="120" w:line="240" w:lineRule="auto"/>
        <w:jc w:val="both"/>
        <w:rPr>
          <w:rFonts w:ascii="Calibri" w:hAnsi="Calibri" w:cs="Calibri"/>
          <w:sz w:val="20"/>
          <w:szCs w:val="20"/>
          <w:lang w:val="ro-RO"/>
        </w:rPr>
      </w:pPr>
      <w:r w:rsidRPr="006E7D2A">
        <w:rPr>
          <w:rFonts w:ascii="Calibri" w:hAnsi="Calibri" w:cs="Calibri"/>
          <w:sz w:val="20"/>
          <w:szCs w:val="20"/>
          <w:lang w:val="ro-RO"/>
        </w:rPr>
        <w:t>Sprijinirea  beneficiarilor din ITI Delta Dunării pentru pregătirea la timp a proiectelor pentru apelurile planificate în anul 2025.</w:t>
      </w:r>
    </w:p>
    <w:p w14:paraId="6F6B97F9" w14:textId="77777777" w:rsidR="003A258B" w:rsidRPr="006E7D2A" w:rsidRDefault="003A258B" w:rsidP="003A258B">
      <w:pPr>
        <w:pStyle w:val="ListParagraph"/>
        <w:numPr>
          <w:ilvl w:val="0"/>
          <w:numId w:val="3"/>
        </w:numPr>
        <w:suppressAutoHyphens/>
        <w:spacing w:before="120" w:after="120" w:line="240" w:lineRule="auto"/>
        <w:jc w:val="both"/>
        <w:rPr>
          <w:rFonts w:ascii="Calibri" w:hAnsi="Calibri" w:cs="Calibri"/>
          <w:sz w:val="20"/>
          <w:szCs w:val="20"/>
          <w:lang w:val="ro-RO"/>
        </w:rPr>
      </w:pPr>
      <w:r w:rsidRPr="006E7D2A">
        <w:rPr>
          <w:rFonts w:ascii="Calibri" w:hAnsi="Calibri" w:cs="Calibri"/>
          <w:sz w:val="20"/>
          <w:szCs w:val="20"/>
          <w:lang w:val="ro-RO"/>
        </w:rPr>
        <w:t>Crearea unui corp de evaluatori de proiecte propriu al AM. Identificarea de potențiali evaluatori de proiecte în teritoriul ITI Delta Dunării</w:t>
      </w:r>
    </w:p>
    <w:p w14:paraId="0DB22837" w14:textId="77777777" w:rsidR="003A258B" w:rsidRPr="006E7D2A" w:rsidRDefault="003A258B" w:rsidP="003A258B">
      <w:pPr>
        <w:pStyle w:val="ListParagraph"/>
        <w:numPr>
          <w:ilvl w:val="0"/>
          <w:numId w:val="3"/>
        </w:numPr>
        <w:suppressAutoHyphens/>
        <w:spacing w:before="120" w:after="120" w:line="240" w:lineRule="auto"/>
        <w:jc w:val="both"/>
        <w:rPr>
          <w:rFonts w:ascii="Calibri" w:hAnsi="Calibri" w:cs="Calibri"/>
          <w:color w:val="000000" w:themeColor="text1"/>
          <w:sz w:val="20"/>
          <w:szCs w:val="20"/>
          <w:lang w:val="ro-RO"/>
        </w:rPr>
      </w:pPr>
      <w:r w:rsidRPr="006E7D2A">
        <w:rPr>
          <w:rFonts w:ascii="Calibri" w:hAnsi="Calibri" w:cs="Calibri"/>
          <w:color w:val="000000" w:themeColor="text1"/>
          <w:sz w:val="20"/>
          <w:szCs w:val="20"/>
          <w:lang w:val="ro-RO"/>
        </w:rPr>
        <w:t>Monitorizare sistematică și structurată a proiectelor-cheie planificte pentru ITI DD în faza de pregătire</w:t>
      </w:r>
    </w:p>
    <w:p w14:paraId="06BD8A18" w14:textId="77777777" w:rsidR="003A258B" w:rsidRPr="006E7D2A" w:rsidRDefault="003A258B" w:rsidP="003A258B">
      <w:pPr>
        <w:numPr>
          <w:ilvl w:val="1"/>
          <w:numId w:val="3"/>
        </w:numPr>
        <w:suppressAutoHyphens/>
        <w:spacing w:before="120" w:after="120" w:line="240" w:lineRule="auto"/>
        <w:jc w:val="both"/>
        <w:rPr>
          <w:rFonts w:ascii="Calibri" w:hAnsi="Calibri" w:cs="Calibri"/>
          <w:sz w:val="20"/>
          <w:szCs w:val="20"/>
          <w:lang w:val="ro-RO"/>
        </w:rPr>
      </w:pPr>
      <w:r w:rsidRPr="006E7D2A">
        <w:rPr>
          <w:rFonts w:ascii="Calibri" w:hAnsi="Calibri" w:cs="Calibri"/>
          <w:sz w:val="20"/>
          <w:szCs w:val="20"/>
          <w:lang w:val="ro-RO"/>
        </w:rPr>
        <w:t xml:space="preserve">„Proiect integrat pentru îmbunătățirea condițiilor hidrologice, repopulare și reproducere pește, renaturare, monitorizare și protecție în Complexul Lacustru Somova-Parcheș, precum și consacrarea conceptului de Deltă a copiilor” (Prioritatea 2), </w:t>
      </w:r>
    </w:p>
    <w:p w14:paraId="30677277" w14:textId="77777777" w:rsidR="003A258B" w:rsidRPr="006E7D2A" w:rsidRDefault="003A258B" w:rsidP="003A258B">
      <w:pPr>
        <w:numPr>
          <w:ilvl w:val="1"/>
          <w:numId w:val="3"/>
        </w:numPr>
        <w:suppressAutoHyphens/>
        <w:spacing w:before="120" w:after="120" w:line="240" w:lineRule="auto"/>
        <w:jc w:val="both"/>
        <w:rPr>
          <w:rFonts w:ascii="Calibri" w:hAnsi="Calibri" w:cs="Calibri"/>
          <w:sz w:val="20"/>
          <w:szCs w:val="20"/>
          <w:lang w:val="ro-RO"/>
        </w:rPr>
      </w:pPr>
      <w:r w:rsidRPr="006E7D2A">
        <w:rPr>
          <w:rFonts w:ascii="Calibri" w:hAnsi="Calibri" w:cs="Calibri"/>
          <w:sz w:val="20"/>
          <w:szCs w:val="20"/>
          <w:lang w:val="ro-RO"/>
        </w:rPr>
        <w:t>Proiectul ITI – investiții destinate sistemului de transport public adaptat nevoilor, cerințelor actuale ale mediului și siguranței pasagerilor, coroborate cu infrastructura de acostare din arealul ITI DD (Prioritatea 4</w:t>
      </w:r>
      <w:r>
        <w:rPr>
          <w:rFonts w:ascii="Calibri" w:hAnsi="Calibri" w:cs="Calibri"/>
          <w:sz w:val="20"/>
          <w:szCs w:val="20"/>
        </w:rPr>
        <w:t>.</w:t>
      </w:r>
    </w:p>
    <w:p w14:paraId="0B9F1E78" w14:textId="77777777" w:rsidR="003A258B" w:rsidRPr="006E7D2A" w:rsidRDefault="003A258B" w:rsidP="003A258B">
      <w:pPr>
        <w:suppressAutoHyphens/>
        <w:rPr>
          <w:rFonts w:ascii="Calibri" w:hAnsi="Calibri" w:cs="Calibri"/>
          <w:color w:val="000000" w:themeColor="text1"/>
          <w:sz w:val="20"/>
          <w:szCs w:val="20"/>
          <w:lang w:val="ro-RO"/>
        </w:rPr>
      </w:pPr>
      <w:r w:rsidRPr="006E7D2A">
        <w:rPr>
          <w:rFonts w:ascii="Calibri" w:eastAsia="Arial" w:hAnsi="Calibri" w:cs="Calibri"/>
          <w:sz w:val="20"/>
          <w:szCs w:val="20"/>
          <w:lang w:val="ro-RO"/>
        </w:rPr>
        <w:t>Această abordare presupune o regularitate a monitorizării procesului, pe etape sau stadii de maturizare a proiectelor, și responsabilități clare privind progresul în pregătirea proiectelor. Publicarea procesului, inclusiv a îndeplinirii responsabilităților în pregătirea proiectelor, poate contribui la creșterea responsabilizării entităților implicate și la managementul scenariilor privind absorbția și eficacitatea până la finalizarea programului.</w:t>
      </w:r>
    </w:p>
    <w:p w14:paraId="72608FE6" w14:textId="77777777" w:rsidR="003A258B" w:rsidRPr="006E7D2A" w:rsidRDefault="003A258B" w:rsidP="003A258B">
      <w:pPr>
        <w:pStyle w:val="ListParagraph"/>
        <w:numPr>
          <w:ilvl w:val="0"/>
          <w:numId w:val="3"/>
        </w:numPr>
        <w:suppressAutoHyphens/>
        <w:spacing w:before="120" w:after="120" w:line="240" w:lineRule="auto"/>
        <w:jc w:val="both"/>
        <w:rPr>
          <w:rFonts w:ascii="Calibri" w:hAnsi="Calibri" w:cs="Calibri"/>
          <w:color w:val="000000" w:themeColor="text1"/>
          <w:sz w:val="20"/>
          <w:szCs w:val="20"/>
          <w:lang w:val="ro-RO"/>
        </w:rPr>
      </w:pPr>
      <w:r w:rsidRPr="006E7D2A">
        <w:rPr>
          <w:rFonts w:ascii="Calibri" w:eastAsia="Arial" w:hAnsi="Calibri" w:cs="Calibri"/>
          <w:sz w:val="20"/>
          <w:szCs w:val="20"/>
          <w:lang w:val="ro-RO"/>
        </w:rPr>
        <w:t>Valorificarea oportunităților create prin integrarea în program a intervențiilor a căror oportunitate a fost creată prin regulamentul STEP (Regulamentul (UE) 2024/795). Inițiativa privind valorificarea oportunităților oferite de tehnologiile strategice și emergente, prin Platforma STEP, trebuie abordată ca un impuls dat activităților de CDI în regiune, valorificând potențialul institutelor de cercetare și universităților, precum și al unor resurse naturale unice ale regiunii, cum ar fi Delta Dunării, biodiversitatea,  energia verde. La nivelul ITI Delta Dunării actorii regionali vor mobiliza resursele existente pentru identificarea proiectelor relevante STEP care valorfică cel mai bine potențialul teritorial.</w:t>
      </w:r>
    </w:p>
    <w:p w14:paraId="7D7D4E22" w14:textId="77777777" w:rsidR="003A258B" w:rsidRPr="006E7D2A" w:rsidRDefault="003A258B" w:rsidP="003A258B">
      <w:pPr>
        <w:pStyle w:val="ListParagraph"/>
        <w:numPr>
          <w:ilvl w:val="0"/>
          <w:numId w:val="3"/>
        </w:numPr>
        <w:suppressAutoHyphens/>
        <w:spacing w:before="120" w:after="120" w:line="240" w:lineRule="auto"/>
        <w:jc w:val="both"/>
        <w:rPr>
          <w:rFonts w:ascii="Calibri" w:eastAsia="Arial" w:hAnsi="Calibri" w:cs="Calibri"/>
          <w:sz w:val="20"/>
          <w:szCs w:val="20"/>
          <w:lang w:val="ro-RO"/>
        </w:rPr>
      </w:pPr>
      <w:r w:rsidRPr="006E7D2A">
        <w:rPr>
          <w:rFonts w:ascii="Calibri" w:eastAsia="Arial" w:hAnsi="Calibri" w:cs="Calibri"/>
          <w:sz w:val="20"/>
          <w:szCs w:val="20"/>
          <w:lang w:val="ro-RO"/>
        </w:rPr>
        <w:t>Se recomandă sprijinirea dezvoltării capacității solicitanților de finanțare și a beneficiarilor în dezvoltarea și implementarea proiectelor, cu precădere, dar nu exclusiv, a beneficiarilor din orașele mici și mediul rural. Sprijinul va avea în vedere:</w:t>
      </w:r>
    </w:p>
    <w:p w14:paraId="4B2B57A0" w14:textId="77777777" w:rsidR="003A258B" w:rsidRPr="006E7D2A" w:rsidRDefault="003A258B" w:rsidP="003A258B">
      <w:pPr>
        <w:pStyle w:val="ListParagraph"/>
        <w:numPr>
          <w:ilvl w:val="1"/>
          <w:numId w:val="3"/>
        </w:numPr>
        <w:suppressAutoHyphens/>
        <w:spacing w:before="120" w:after="120" w:line="240" w:lineRule="auto"/>
        <w:jc w:val="both"/>
        <w:rPr>
          <w:rFonts w:ascii="Calibri" w:hAnsi="Calibri" w:cs="Calibri"/>
          <w:sz w:val="20"/>
          <w:szCs w:val="20"/>
          <w:lang w:val="ro-RO"/>
        </w:rPr>
      </w:pPr>
      <w:r w:rsidRPr="006E7D2A">
        <w:rPr>
          <w:rFonts w:ascii="Calibri" w:hAnsi="Calibri" w:cs="Calibri"/>
          <w:sz w:val="20"/>
          <w:szCs w:val="20"/>
          <w:lang w:val="ro-RO"/>
        </w:rPr>
        <w:lastRenderedPageBreak/>
        <w:t>Îndrumarea beneficiarilor pentru utilizarea optimă a oportunității de finanțare a dezvoltării competențelor, integrată în proiecte de investiții, prin recomandări privind cele mai eficiente moduri de învățare, dar și instituționalizarea învățării și facilitarea transferului de cunoaștere între beneficiari.</w:t>
      </w:r>
    </w:p>
    <w:p w14:paraId="58CD76E8" w14:textId="77777777" w:rsidR="003A258B" w:rsidRPr="006E7D2A" w:rsidRDefault="003A258B" w:rsidP="003A258B">
      <w:pPr>
        <w:pStyle w:val="ListParagraph"/>
        <w:numPr>
          <w:ilvl w:val="1"/>
          <w:numId w:val="3"/>
        </w:numPr>
        <w:suppressAutoHyphens/>
        <w:spacing w:before="120" w:after="120" w:line="240" w:lineRule="auto"/>
        <w:jc w:val="both"/>
        <w:rPr>
          <w:rFonts w:ascii="Calibri" w:hAnsi="Calibri" w:cs="Calibri"/>
          <w:sz w:val="20"/>
          <w:szCs w:val="20"/>
          <w:lang w:val="ro-RO"/>
        </w:rPr>
      </w:pPr>
      <w:r w:rsidRPr="006E7D2A">
        <w:rPr>
          <w:rFonts w:ascii="Calibri" w:hAnsi="Calibri" w:cs="Calibri"/>
          <w:sz w:val="20"/>
          <w:szCs w:val="20"/>
          <w:lang w:val="ro-RO"/>
        </w:rPr>
        <w:t>Îndrumarea beneficiarilor privind utilizarea finanțării încrucișate, a cheltuielilor de tip FSE, importante pentru operaționalizarea infrastructurilor sprijinite și calitatea serviciilor aferente oferite cetățenilor.</w:t>
      </w:r>
    </w:p>
    <w:p w14:paraId="5D577DB1" w14:textId="77777777" w:rsidR="003A258B" w:rsidRPr="006E7D2A" w:rsidRDefault="003A258B" w:rsidP="003A258B">
      <w:pPr>
        <w:pStyle w:val="ListParagraph"/>
        <w:numPr>
          <w:ilvl w:val="0"/>
          <w:numId w:val="3"/>
        </w:numPr>
        <w:suppressAutoHyphens/>
        <w:spacing w:before="120" w:after="120" w:line="240" w:lineRule="auto"/>
        <w:jc w:val="both"/>
        <w:rPr>
          <w:rFonts w:ascii="Calibri" w:hAnsi="Calibri" w:cs="Calibri"/>
          <w:color w:val="000000" w:themeColor="text1"/>
          <w:sz w:val="20"/>
          <w:szCs w:val="20"/>
          <w:lang w:val="ro-RO"/>
        </w:rPr>
      </w:pPr>
      <w:r w:rsidRPr="006E7D2A">
        <w:rPr>
          <w:rFonts w:ascii="Calibri" w:hAnsi="Calibri" w:cs="Calibri"/>
          <w:color w:val="000000" w:themeColor="text1"/>
          <w:sz w:val="20"/>
          <w:szCs w:val="20"/>
          <w:lang w:val="ro-RO"/>
        </w:rPr>
        <w:t>Continuarea simplificării pe baza experienței din teritoriul ITI DD. Furnizarea de informații din teritoriul ITI Delta Dunării privind nevoia de simplificare, eficacitatea măsurilor de simplificare actuale și deficiențe, inclusiv privind MYSMIS, opțiuni de costuri simplificate, redundanțe în transmiterea de informații prin cererea de finanțare, raportare.</w:t>
      </w:r>
    </w:p>
    <w:p w14:paraId="007DE039" w14:textId="77777777" w:rsidR="003A258B" w:rsidRPr="006E7D2A" w:rsidRDefault="003A258B" w:rsidP="003A258B">
      <w:pPr>
        <w:pStyle w:val="ListParagraph"/>
        <w:numPr>
          <w:ilvl w:val="0"/>
          <w:numId w:val="3"/>
        </w:numPr>
        <w:suppressAutoHyphens/>
        <w:spacing w:before="120" w:after="120" w:line="240" w:lineRule="auto"/>
        <w:jc w:val="both"/>
        <w:rPr>
          <w:rFonts w:ascii="Calibri" w:hAnsi="Calibri" w:cs="Calibri"/>
          <w:sz w:val="20"/>
          <w:szCs w:val="20"/>
          <w:lang w:val="ro-RO"/>
        </w:rPr>
      </w:pPr>
      <w:r w:rsidRPr="006E7D2A">
        <w:rPr>
          <w:rFonts w:ascii="Calibri" w:eastAsia="Arial" w:hAnsi="Calibri" w:cs="Calibri"/>
          <w:sz w:val="20"/>
          <w:szCs w:val="20"/>
          <w:lang w:val="ro-RO"/>
        </w:rPr>
        <w:t>Motivarea beneficiarilor pentru respectarea graficelor de implementare. Introducerea de clauze contractuale stricte care să asigure respectarea graficelor de implementare,</w:t>
      </w:r>
      <w:r w:rsidRPr="006E7D2A">
        <w:rPr>
          <w:rFonts w:ascii="Calibri" w:hAnsi="Calibri" w:cs="Calibri"/>
          <w:sz w:val="20"/>
          <w:szCs w:val="20"/>
          <w:lang w:val="ro-RO"/>
        </w:rPr>
        <w:t xml:space="preserve"> inclusiv termene pentru lansarea achizițiilor publice și aplicarea de penalități în cazul întârzierilor nejustificate.</w:t>
      </w:r>
    </w:p>
    <w:p w14:paraId="2C078E63" w14:textId="0FA772A2" w:rsidR="00E37721" w:rsidRPr="000B788E" w:rsidRDefault="00E37721" w:rsidP="003A258B">
      <w:pPr>
        <w:pStyle w:val="ListParagraph"/>
        <w:numPr>
          <w:ilvl w:val="0"/>
          <w:numId w:val="1"/>
        </w:numPr>
        <w:spacing w:after="0" w:line="278" w:lineRule="auto"/>
        <w:jc w:val="both"/>
        <w:rPr>
          <w:rFonts w:ascii="Calibri" w:hAnsi="Calibri" w:cs="Calibri"/>
          <w:sz w:val="20"/>
          <w:szCs w:val="20"/>
          <w:lang w:val="ro-RO"/>
        </w:rPr>
      </w:pPr>
    </w:p>
    <w:sectPr w:rsidR="00E37721" w:rsidRPr="000B788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EEA25" w14:textId="77777777" w:rsidR="00ED077E" w:rsidRDefault="00ED077E" w:rsidP="001522B1">
      <w:pPr>
        <w:spacing w:after="0" w:line="240" w:lineRule="auto"/>
      </w:pPr>
      <w:r>
        <w:separator/>
      </w:r>
    </w:p>
  </w:endnote>
  <w:endnote w:type="continuationSeparator" w:id="0">
    <w:p w14:paraId="4C25843E" w14:textId="77777777" w:rsidR="00ED077E" w:rsidRDefault="00ED077E" w:rsidP="00152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77C2C" w14:textId="06532FCF" w:rsidR="001522B1" w:rsidRDefault="00813DEE" w:rsidP="001522B1">
    <w:pPr>
      <w:pStyle w:val="Footer"/>
      <w:jc w:val="center"/>
    </w:pPr>
    <w:r w:rsidRPr="0081436D">
      <w:rPr>
        <w:rFonts w:ascii="Calibri" w:eastAsia="Times New Roman" w:hAnsi="Calibri" w:cs="Calibri"/>
        <w:b/>
        <w:bCs/>
        <w:noProof/>
        <w:color w:val="213F99"/>
        <w:sz w:val="20"/>
        <w:szCs w:val="20"/>
        <w:lang w:eastAsia="en-GB"/>
      </w:rPr>
      <w:drawing>
        <wp:anchor distT="0" distB="0" distL="114300" distR="114300" simplePos="0" relativeHeight="251659264" behindDoc="1" locked="0" layoutInCell="1" allowOverlap="1" wp14:anchorId="405DBF89" wp14:editId="5CB117F9">
          <wp:simplePos x="0" y="0"/>
          <wp:positionH relativeFrom="page">
            <wp:align>right</wp:align>
          </wp:positionH>
          <wp:positionV relativeFrom="paragraph">
            <wp:posOffset>121920</wp:posOffset>
          </wp:positionV>
          <wp:extent cx="7764780" cy="123190"/>
          <wp:effectExtent l="0" t="0" r="7620" b="0"/>
          <wp:wrapTopAndBottom/>
          <wp:docPr id="1872800741"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001522B1" w:rsidRPr="0081436D">
        <w:rPr>
          <w:rFonts w:ascii="Calibri" w:eastAsia="Times New Roman" w:hAnsi="Calibri" w:cs="Calibri"/>
          <w:b/>
          <w:bCs/>
          <w:color w:val="213F99"/>
          <w:sz w:val="20"/>
          <w:szCs w:val="20"/>
          <w:u w:val="single"/>
          <w:lang w:eastAsia="en-GB"/>
        </w:rPr>
        <w:t>RegioSE</w:t>
      </w:r>
    </w:hyperlink>
    <w:r w:rsidR="001522B1" w:rsidRPr="0081436D">
      <w:rPr>
        <w:rFonts w:ascii="Calibri" w:eastAsia="Times New Roman" w:hAnsi="Calibri" w:cs="Calibri"/>
        <w:b/>
        <w:bCs/>
        <w:color w:val="213F99"/>
        <w:sz w:val="20"/>
        <w:szCs w:val="20"/>
        <w:lang w:eastAsia="en-GB"/>
      </w:rPr>
      <w:t xml:space="preserve">  |  https://www.facebook.com/adrse.ro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4252C" w14:textId="77777777" w:rsidR="00ED077E" w:rsidRDefault="00ED077E" w:rsidP="001522B1">
      <w:pPr>
        <w:spacing w:after="0" w:line="240" w:lineRule="auto"/>
      </w:pPr>
      <w:r>
        <w:separator/>
      </w:r>
    </w:p>
  </w:footnote>
  <w:footnote w:type="continuationSeparator" w:id="0">
    <w:p w14:paraId="4FEDD7FA" w14:textId="77777777" w:rsidR="00ED077E" w:rsidRDefault="00ED077E" w:rsidP="001522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6448B" w14:textId="77777777" w:rsidR="00E472F4" w:rsidRDefault="00E472F4" w:rsidP="00E472F4">
    <w:pPr>
      <w:pStyle w:val="Header"/>
      <w:tabs>
        <w:tab w:val="left" w:pos="4002"/>
        <w:tab w:val="left" w:pos="4601"/>
      </w:tabs>
    </w:pPr>
    <w:r w:rsidRPr="00024668">
      <w:rPr>
        <w:rFonts w:eastAsia="MS Mincho" w:cs="Arial"/>
        <w:b/>
        <w:noProof/>
        <w:color w:val="232323"/>
      </w:rPr>
      <w:drawing>
        <wp:anchor distT="0" distB="0" distL="0" distR="0" simplePos="0" relativeHeight="251662336" behindDoc="1" locked="0" layoutInCell="1" allowOverlap="1" wp14:anchorId="74E0616F" wp14:editId="5F06D077">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3360" behindDoc="1" locked="0" layoutInCell="1" allowOverlap="1" wp14:anchorId="237849DC" wp14:editId="58B65496">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61312" behindDoc="1" locked="0" layoutInCell="1" allowOverlap="1" wp14:anchorId="65D7EC43" wp14:editId="278FA427">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1F2AA7C9" w14:textId="77777777" w:rsidR="001522B1" w:rsidRDefault="001522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147B8"/>
    <w:multiLevelType w:val="hybridMultilevel"/>
    <w:tmpl w:val="2362E73C"/>
    <w:lvl w:ilvl="0" w:tplc="A66C2BB0">
      <w:start w:val="1"/>
      <w:numFmt w:val="decimal"/>
      <w:lvlText w:val="%1."/>
      <w:lvlJc w:val="left"/>
      <w:pPr>
        <w:ind w:left="360" w:hanging="360"/>
      </w:pPr>
      <w:rPr>
        <w:rFonts w:hint="default"/>
        <w:b w:val="0"/>
        <w:color w:val="000000" w:themeColor="text1"/>
        <w:sz w:val="20"/>
        <w:szCs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74884EC5"/>
    <w:multiLevelType w:val="hybridMultilevel"/>
    <w:tmpl w:val="B19AF066"/>
    <w:lvl w:ilvl="0" w:tplc="5386C854">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687831"/>
    <w:multiLevelType w:val="hybridMultilevel"/>
    <w:tmpl w:val="837226F4"/>
    <w:lvl w:ilvl="0" w:tplc="5F3C1728">
      <w:start w:val="1"/>
      <w:numFmt w:val="bullet"/>
      <w:lvlText w:val="o"/>
      <w:lvlJc w:val="left"/>
      <w:pPr>
        <w:ind w:left="720" w:hanging="360"/>
      </w:pPr>
      <w:rPr>
        <w:rFonts w:ascii="Courier New" w:hAnsi="Courier New" w:hint="default"/>
        <w:b w:val="0"/>
        <w:color w:val="00B05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0945434">
    <w:abstractNumId w:val="2"/>
  </w:num>
  <w:num w:numId="2" w16cid:durableId="1483305458">
    <w:abstractNumId w:val="1"/>
  </w:num>
  <w:num w:numId="3" w16cid:durableId="677737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B890D8"/>
    <w:rsid w:val="000B788E"/>
    <w:rsid w:val="001522B1"/>
    <w:rsid w:val="003A258B"/>
    <w:rsid w:val="00685B8B"/>
    <w:rsid w:val="00813DEE"/>
    <w:rsid w:val="00844132"/>
    <w:rsid w:val="00BE5822"/>
    <w:rsid w:val="00DC50BB"/>
    <w:rsid w:val="00E37721"/>
    <w:rsid w:val="00E472F4"/>
    <w:rsid w:val="00ED077E"/>
    <w:rsid w:val="2EB89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890D8"/>
  <w15:chartTrackingRefBased/>
  <w15:docId w15:val="{856AAB18-C3DD-4493-B036-25850247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0B788E"/>
    <w:pPr>
      <w:ind w:left="720"/>
      <w:contextualSpacing/>
    </w:pPr>
  </w:style>
  <w:style w:type="paragraph" w:styleId="Header">
    <w:name w:val="header"/>
    <w:basedOn w:val="Normal"/>
    <w:link w:val="HeaderChar"/>
    <w:uiPriority w:val="99"/>
    <w:unhideWhenUsed/>
    <w:rsid w:val="00152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2B1"/>
  </w:style>
  <w:style w:type="paragraph" w:styleId="Footer">
    <w:name w:val="footer"/>
    <w:basedOn w:val="Normal"/>
    <w:link w:val="FooterChar"/>
    <w:uiPriority w:val="99"/>
    <w:unhideWhenUsed/>
    <w:rsid w:val="00152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2B1"/>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3A2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s://lideeaconsulting.sharepoint.com/sites/EvalPRSE/Documente%20partajate/Eval%20PRSE%20gen/4.Raport%20versiuni%20si%20SdC/RegioSE"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05A8D-6F7B-48A4-B346-A9BE61B69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AABC97-8E7C-4BD2-B91C-D5942D3844B4}">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customXml/itemProps3.xml><?xml version="1.0" encoding="utf-8"?>
<ds:datastoreItem xmlns:ds="http://schemas.openxmlformats.org/officeDocument/2006/customXml" ds:itemID="{85EF74DE-0648-4EC7-8881-B08D154B0A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2012</Words>
  <Characters>11475</Characters>
  <Application>Microsoft Office Word</Application>
  <DocSecurity>0</DocSecurity>
  <Lines>95</Lines>
  <Paragraphs>26</Paragraphs>
  <ScaleCrop>false</ScaleCrop>
  <Company/>
  <LinksUpToDate>false</LinksUpToDate>
  <CharactersWithSpaces>13461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Irina Stavila</cp:lastModifiedBy>
  <cp:revision>7</cp:revision>
  <dcterms:created xsi:type="dcterms:W3CDTF">2025-03-24T09:18:00Z</dcterms:created>
  <dcterms:modified xsi:type="dcterms:W3CDTF">2025-03-25T16:13:00Z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