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4CB" w14:textId="37781ADD" w:rsidR="00F66648" w:rsidRPr="00F66648" w:rsidRDefault="00F66648" w:rsidP="00F66648">
      <w:pPr>
        <w:suppressAutoHyphens/>
        <w:spacing w:line="240" w:lineRule="auto"/>
        <w:jc w:val="both"/>
        <w:rPr>
          <w:rFonts w:ascii="Calibri" w:hAnsi="Calibri" w:cs="Calibri"/>
          <w:b/>
          <w:bCs/>
          <w:sz w:val="20"/>
          <w:szCs w:val="20"/>
        </w:rPr>
      </w:pPr>
      <w:r w:rsidRPr="00F66648">
        <w:rPr>
          <w:rFonts w:ascii="Calibri" w:hAnsi="Calibri" w:cs="Calibri"/>
          <w:b/>
          <w:bCs/>
          <w:sz w:val="20"/>
          <w:szCs w:val="20"/>
        </w:rPr>
        <w:t xml:space="preserve">Sinteză Raport Prioritatea </w:t>
      </w:r>
      <w:r w:rsidR="00014A14">
        <w:rPr>
          <w:rFonts w:ascii="Calibri" w:hAnsi="Calibri" w:cs="Calibri"/>
          <w:b/>
          <w:bCs/>
          <w:sz w:val="20"/>
          <w:szCs w:val="20"/>
        </w:rPr>
        <w:t>6</w:t>
      </w:r>
      <w:r w:rsidR="004A6DE6">
        <w:rPr>
          <w:rFonts w:ascii="Calibri" w:hAnsi="Calibri" w:cs="Calibri"/>
          <w:b/>
          <w:bCs/>
          <w:sz w:val="20"/>
          <w:szCs w:val="20"/>
        </w:rPr>
        <w:t xml:space="preserve"> O regiune </w:t>
      </w:r>
      <w:r w:rsidR="00014A14">
        <w:rPr>
          <w:rFonts w:ascii="Calibri" w:hAnsi="Calibri" w:cs="Calibri"/>
          <w:b/>
          <w:bCs/>
          <w:sz w:val="20"/>
          <w:szCs w:val="20"/>
        </w:rPr>
        <w:t>atractivă</w:t>
      </w:r>
    </w:p>
    <w:p w14:paraId="667A3917" w14:textId="1FED90C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Evaluarea prezentată în acest raport are ca obiectiv furnizarea de informații menite să sprijine Autoritatea de Management în realizarea evaluării intermediare (mid-term review), conform articolului 18 din Regulamentul Cadru 1060/2021, în vederea îmbunătățirii Programului Regional Sud-Est și a procesului de implementare a acestuia.</w:t>
      </w:r>
    </w:p>
    <w:p w14:paraId="79ED04CA"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Analiza se concentrează pe patru criterii de evaluare – relevanță, eficacitate, coerență externă și eficiență – și oferă concluzii și recomandări utile pentru Autoritatea de Management și alte părți interesate, cu scopul optimizării sprijinului acordat în intervenții similare, într-un context socio-economic aflat într-o continuă transformare.</w:t>
      </w:r>
    </w:p>
    <w:p w14:paraId="14DDA6A2" w14:textId="1EF9CE0B"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 xml:space="preserve">Evaluarea acoperă intervențiile corespunzătoare Priorității </w:t>
      </w:r>
      <w:r w:rsidR="004A6DE6">
        <w:rPr>
          <w:rFonts w:ascii="Calibri" w:hAnsi="Calibri" w:cs="Calibri"/>
          <w:sz w:val="20"/>
          <w:szCs w:val="20"/>
        </w:rPr>
        <w:t>4</w:t>
      </w:r>
      <w:r w:rsidRPr="00F66648">
        <w:rPr>
          <w:rFonts w:ascii="Calibri" w:hAnsi="Calibri" w:cs="Calibri"/>
          <w:sz w:val="20"/>
          <w:szCs w:val="20"/>
        </w:rPr>
        <w:t xml:space="preserve"> – O regiune cu emisii reduse de carbon și se referă la perioada de implementare cuprinsă între data aprobării programului, 21 octombrie 2022, și 31 decembrie 2024.</w:t>
      </w:r>
    </w:p>
    <w:p w14:paraId="164E4209"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Din punct de vedere teritorial, evaluarea include întregul areal al Regiunii de Dezvoltare Sud-Est, respectiv județele Brăila, Buzău, Constanța, Galați, Tulcea și Vrancea, inclusiv zona Deltei Dunării.</w:t>
      </w:r>
    </w:p>
    <w:p w14:paraId="53481B0D"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Metodologia aplicată, construită în jurul celor șase întrebări de evaluare din caietul de sarcini, a utilizat o combinație echilibrată de metode și instrumente: analiză documentară, interviuri, sondaje, grupuri de discuție, ateliere de lucru, studii de caz, paneluri de experți și metode cantitative pentru analiza progresului în implementare.</w:t>
      </w:r>
    </w:p>
    <w:p w14:paraId="6667F435" w14:textId="37C1B8A0" w:rsidR="00F66648" w:rsidRPr="004A6DE6" w:rsidRDefault="00F66648" w:rsidP="004A6DE6">
      <w:pPr>
        <w:suppressAutoHyphens/>
        <w:spacing w:line="240" w:lineRule="auto"/>
        <w:jc w:val="both"/>
        <w:rPr>
          <w:rFonts w:ascii="Calibri" w:hAnsi="Calibri" w:cs="Calibri"/>
          <w:sz w:val="20"/>
          <w:szCs w:val="20"/>
        </w:rPr>
      </w:pPr>
      <w:r w:rsidRPr="004A6DE6">
        <w:rPr>
          <w:rFonts w:ascii="Calibri" w:hAnsi="Calibri" w:cs="Calibri"/>
          <w:sz w:val="20"/>
          <w:szCs w:val="20"/>
        </w:rPr>
        <w:t>Procesul de evaluare a fost afectat de constrângeri de timp, disponibilitatea redusă a beneficiarilor și incidența redusă a proiectelor. Majoritatea proiectelor evaluate sunt fie etapizate din perioada anterioară de programare, fie noi dar aflate în faze incipiente, ceea ce a limitat analiza la țintele asumate, în absența unor rezultate efective generate de lipsa contractelor finalizate.</w:t>
      </w:r>
    </w:p>
    <w:p w14:paraId="3D107C48"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Programul Regional Sud-Est (PRSE) 2021–2027, alături de celelalte șapte programe regionale, marchează o premieră în cadrul Acordului de Parteneriat dintre România și Uniunea Europeană, fiind pentru prima dată gestionat la nivel regional în cadrul Politicii de Coeziune. Scopul PRSE este de a susține creșterea competitivității economice regionale și de a îmbunătăți condițiile de viață ale comunităților locale, prin sprijinirea dezvoltării mediului de afaceri, a infrastructurii și serviciilor, contribuind la reducerea disparităților intraregionale și promovarea unei dezvoltări durabile.</w:t>
      </w:r>
    </w:p>
    <w:p w14:paraId="5BEDB9FC" w14:textId="21B02702" w:rsidR="004A6DE6" w:rsidRDefault="00F66648" w:rsidP="00F66648">
      <w:pPr>
        <w:suppressAutoHyphens/>
        <w:spacing w:line="240" w:lineRule="auto"/>
        <w:jc w:val="both"/>
        <w:rPr>
          <w:rFonts w:ascii="Calibri" w:hAnsi="Calibri" w:cs="Calibri"/>
          <w:sz w:val="20"/>
          <w:szCs w:val="20"/>
        </w:rPr>
      </w:pPr>
      <w:r w:rsidRPr="004A6DE6">
        <w:rPr>
          <w:rFonts w:ascii="Calibri" w:hAnsi="Calibri" w:cs="Calibri"/>
          <w:sz w:val="20"/>
          <w:szCs w:val="20"/>
        </w:rPr>
        <w:t>P</w:t>
      </w:r>
      <w:r w:rsidRPr="00A86FAF">
        <w:rPr>
          <w:rFonts w:ascii="Calibri" w:hAnsi="Calibri" w:cs="Calibri"/>
          <w:sz w:val="20"/>
          <w:szCs w:val="20"/>
        </w:rPr>
        <w:t xml:space="preserve">rioritatea </w:t>
      </w:r>
      <w:r w:rsidR="00A86FAF">
        <w:rPr>
          <w:rFonts w:ascii="Calibri" w:hAnsi="Calibri" w:cs="Calibri"/>
          <w:sz w:val="20"/>
          <w:szCs w:val="20"/>
        </w:rPr>
        <w:t>6</w:t>
      </w:r>
      <w:r w:rsidRPr="004A6DE6">
        <w:rPr>
          <w:rFonts w:ascii="Calibri" w:hAnsi="Calibri" w:cs="Calibri"/>
          <w:sz w:val="20"/>
          <w:szCs w:val="20"/>
        </w:rPr>
        <w:t xml:space="preserve"> </w:t>
      </w:r>
      <w:r w:rsidR="004A6DE6" w:rsidRPr="004A6DE6">
        <w:rPr>
          <w:rFonts w:ascii="Calibri" w:hAnsi="Calibri" w:cs="Calibri"/>
          <w:sz w:val="20"/>
          <w:szCs w:val="20"/>
        </w:rPr>
        <w:t>„</w:t>
      </w:r>
      <w:r w:rsidRPr="004A6DE6">
        <w:rPr>
          <w:rFonts w:ascii="Calibri" w:hAnsi="Calibri" w:cs="Calibri"/>
          <w:sz w:val="20"/>
          <w:szCs w:val="20"/>
        </w:rPr>
        <w:t xml:space="preserve">O regiune </w:t>
      </w:r>
      <w:r w:rsidR="00A86FAF">
        <w:rPr>
          <w:rFonts w:ascii="Calibri" w:hAnsi="Calibri" w:cs="Calibri"/>
          <w:sz w:val="20"/>
          <w:szCs w:val="20"/>
        </w:rPr>
        <w:t>atractivă</w:t>
      </w:r>
      <w:r w:rsidRPr="004A6DE6">
        <w:rPr>
          <w:rFonts w:ascii="Calibri" w:hAnsi="Calibri" w:cs="Calibri"/>
          <w:sz w:val="20"/>
          <w:szCs w:val="20"/>
        </w:rPr>
        <w:t xml:space="preserve">" </w:t>
      </w:r>
      <w:r w:rsidR="00A86FAF" w:rsidRPr="00A86FAF">
        <w:rPr>
          <w:rFonts w:ascii="Calibri" w:hAnsi="Calibri" w:cs="Calibri"/>
          <w:sz w:val="20"/>
          <w:szCs w:val="20"/>
        </w:rPr>
        <w:t>contribuie la consolidarea atractivității regiunii prin promovarea unui mediu de viață de calitate, atragerea de investiții, dezvoltarea infrastructurii turistice, protejarea și valorificarea patrimoniului natural și cultural</w:t>
      </w:r>
      <w:r w:rsidR="00A86FAF">
        <w:rPr>
          <w:rFonts w:ascii="Calibri" w:hAnsi="Calibri" w:cs="Calibri"/>
          <w:sz w:val="20"/>
          <w:szCs w:val="20"/>
        </w:rPr>
        <w:t xml:space="preserve"> acoperind două Obiective Specifice - </w:t>
      </w:r>
      <w:r w:rsidR="00A86FAF" w:rsidRPr="00A86FAF">
        <w:rPr>
          <w:rFonts w:ascii="Calibri" w:hAnsi="Calibri" w:cs="Calibri"/>
          <w:sz w:val="20"/>
          <w:szCs w:val="20"/>
        </w:rPr>
        <w:t xml:space="preserve">OS5.1. Promovarea dezvoltării integrate și incluzive în domeniul social, economic și al mediului, precum și a culturii, a patrimoniului natural, a turismului sustenabil și a securității în zonele urbane </w:t>
      </w:r>
      <w:r w:rsidR="00A86FAF">
        <w:rPr>
          <w:rFonts w:ascii="Calibri" w:hAnsi="Calibri" w:cs="Calibri"/>
          <w:sz w:val="20"/>
          <w:szCs w:val="20"/>
        </w:rPr>
        <w:t xml:space="preserve">și </w:t>
      </w:r>
      <w:r w:rsidR="00A86FAF" w:rsidRPr="00A86FAF">
        <w:rPr>
          <w:rFonts w:ascii="Calibri" w:hAnsi="Calibri" w:cs="Calibri"/>
          <w:sz w:val="20"/>
          <w:szCs w:val="20"/>
        </w:rPr>
        <w:t>OS5.2. Promovarea dezvoltării locale integrate și incluzive în domeniul social, economic și al mediului, precum și a culturii, a patrimoniului natural, a turismului sustenabil și a securității în alte zone decât cele urbane</w:t>
      </w:r>
      <w:r w:rsidR="00A86FAF">
        <w:rPr>
          <w:rFonts w:ascii="Calibri" w:hAnsi="Calibri" w:cs="Calibri"/>
          <w:sz w:val="20"/>
          <w:szCs w:val="20"/>
        </w:rPr>
        <w:t xml:space="preserve">. Acestea vizează </w:t>
      </w:r>
      <w:r w:rsidR="00A86FAF" w:rsidRPr="00A86FAF">
        <w:rPr>
          <w:rFonts w:ascii="Calibri" w:hAnsi="Calibri" w:cs="Calibri"/>
          <w:sz w:val="20"/>
          <w:szCs w:val="20"/>
        </w:rPr>
        <w:t>intervenții ce au ca scop dezvoltarea integrată în zonele urbane prin regenerare urbană, conservarea patrimoniului și dezvoltarea turismului</w:t>
      </w:r>
      <w:r w:rsidR="00A86FAF">
        <w:rPr>
          <w:rFonts w:ascii="Calibri" w:hAnsi="Calibri" w:cs="Calibri"/>
          <w:sz w:val="20"/>
          <w:szCs w:val="20"/>
        </w:rPr>
        <w:t xml:space="preserve"> </w:t>
      </w:r>
      <w:bookmarkStart w:id="0" w:name="_Hlk193824994"/>
      <w:r w:rsidR="00A86FAF">
        <w:rPr>
          <w:rFonts w:ascii="Calibri" w:hAnsi="Calibri" w:cs="Calibri"/>
          <w:sz w:val="20"/>
          <w:szCs w:val="20"/>
        </w:rPr>
        <w:t>(</w:t>
      </w:r>
      <w:r w:rsidR="00A86FAF" w:rsidRPr="00A86FAF">
        <w:rPr>
          <w:rFonts w:ascii="Calibri" w:hAnsi="Calibri" w:cs="Calibri"/>
          <w:sz w:val="20"/>
          <w:szCs w:val="20"/>
        </w:rPr>
        <w:t>Acțiunea 6.1</w:t>
      </w:r>
      <w:r w:rsidR="00A86FAF">
        <w:rPr>
          <w:rFonts w:ascii="Calibri" w:hAnsi="Calibri" w:cs="Calibri"/>
          <w:sz w:val="20"/>
          <w:szCs w:val="20"/>
        </w:rPr>
        <w:t xml:space="preserve">) </w:t>
      </w:r>
      <w:bookmarkEnd w:id="0"/>
      <w:r w:rsidR="00A86FAF">
        <w:rPr>
          <w:rFonts w:ascii="Calibri" w:hAnsi="Calibri" w:cs="Calibri"/>
          <w:sz w:val="20"/>
          <w:szCs w:val="20"/>
        </w:rPr>
        <w:t>și</w:t>
      </w:r>
      <w:r w:rsidR="00A86FAF" w:rsidRPr="00A86FAF">
        <w:rPr>
          <w:rFonts w:ascii="Calibri" w:hAnsi="Calibri" w:cs="Calibri"/>
          <w:sz w:val="20"/>
          <w:szCs w:val="20"/>
        </w:rPr>
        <w:t xml:space="preserve"> intervenții ce au ca scop valorificarea potențialului turistic în zone non-urbane</w:t>
      </w:r>
      <w:r w:rsidR="00A86FAF">
        <w:rPr>
          <w:rFonts w:ascii="Calibri" w:hAnsi="Calibri" w:cs="Calibri"/>
          <w:sz w:val="20"/>
          <w:szCs w:val="20"/>
        </w:rPr>
        <w:t xml:space="preserve"> </w:t>
      </w:r>
      <w:r w:rsidR="00A86FAF">
        <w:rPr>
          <w:rFonts w:ascii="Calibri" w:hAnsi="Calibri" w:cs="Calibri"/>
          <w:sz w:val="20"/>
          <w:szCs w:val="20"/>
        </w:rPr>
        <w:t>(</w:t>
      </w:r>
      <w:r w:rsidR="00A86FAF" w:rsidRPr="00A86FAF">
        <w:rPr>
          <w:rFonts w:ascii="Calibri" w:hAnsi="Calibri" w:cs="Calibri"/>
          <w:sz w:val="20"/>
          <w:szCs w:val="20"/>
        </w:rPr>
        <w:t>Acțiunea 6.</w:t>
      </w:r>
      <w:r w:rsidR="00A86FAF">
        <w:rPr>
          <w:rFonts w:ascii="Calibri" w:hAnsi="Calibri" w:cs="Calibri"/>
          <w:sz w:val="20"/>
          <w:szCs w:val="20"/>
        </w:rPr>
        <w:t>2</w:t>
      </w:r>
      <w:r w:rsidR="00A86FAF">
        <w:rPr>
          <w:rFonts w:ascii="Calibri" w:hAnsi="Calibri" w:cs="Calibri"/>
          <w:sz w:val="20"/>
          <w:szCs w:val="20"/>
        </w:rPr>
        <w:t>)</w:t>
      </w:r>
      <w:r w:rsidR="00A86FAF" w:rsidRPr="00A86FAF">
        <w:rPr>
          <w:rFonts w:ascii="Calibri" w:hAnsi="Calibri" w:cs="Calibri"/>
          <w:sz w:val="20"/>
          <w:szCs w:val="20"/>
        </w:rPr>
        <w:t>.</w:t>
      </w:r>
      <w:r w:rsidR="00AE0D9C">
        <w:rPr>
          <w:rFonts w:ascii="Calibri" w:hAnsi="Calibri" w:cs="Calibri"/>
          <w:sz w:val="20"/>
          <w:szCs w:val="20"/>
        </w:rPr>
        <w:t xml:space="preserve"> </w:t>
      </w:r>
      <w:r w:rsidRPr="0064102C">
        <w:rPr>
          <w:rFonts w:ascii="Calibri" w:hAnsi="Calibri" w:cs="Calibri"/>
          <w:sz w:val="20"/>
          <w:szCs w:val="20"/>
        </w:rPr>
        <w:t xml:space="preserve">Intervențiile finanțate în cadrul Priorității </w:t>
      </w:r>
      <w:r w:rsidR="00A86FAF">
        <w:rPr>
          <w:rFonts w:ascii="Calibri" w:hAnsi="Calibri" w:cs="Calibri"/>
          <w:sz w:val="20"/>
          <w:szCs w:val="20"/>
        </w:rPr>
        <w:t>6</w:t>
      </w:r>
      <w:r w:rsidRPr="0064102C">
        <w:rPr>
          <w:rFonts w:ascii="Calibri" w:hAnsi="Calibri" w:cs="Calibri"/>
          <w:sz w:val="20"/>
          <w:szCs w:val="20"/>
        </w:rPr>
        <w:t xml:space="preserve"> au fost concepute, astfel, pentru a răspunde unor probleme existente la nivelul regiunii Sud-Est</w:t>
      </w:r>
      <w:r w:rsidR="00AE0D9C">
        <w:rPr>
          <w:rFonts w:ascii="Calibri" w:hAnsi="Calibri" w:cs="Calibri"/>
          <w:sz w:val="20"/>
          <w:szCs w:val="20"/>
        </w:rPr>
        <w:t xml:space="preserve"> legate de gradul scăzut de atractivitate ale zonei. </w:t>
      </w:r>
    </w:p>
    <w:p w14:paraId="15114B7A" w14:textId="77777777" w:rsidR="00F66648" w:rsidRDefault="00F66648" w:rsidP="00F66648">
      <w:pPr>
        <w:spacing w:line="240" w:lineRule="auto"/>
        <w:jc w:val="both"/>
        <w:rPr>
          <w:rFonts w:ascii="Calibri" w:hAnsi="Calibri" w:cs="Calibri"/>
          <w:b/>
          <w:bCs/>
          <w:sz w:val="20"/>
          <w:szCs w:val="20"/>
        </w:rPr>
      </w:pPr>
      <w:r w:rsidRPr="005C243E">
        <w:rPr>
          <w:rFonts w:ascii="Calibri" w:hAnsi="Calibri" w:cs="Calibri"/>
          <w:b/>
          <w:bCs/>
          <w:sz w:val="20"/>
          <w:szCs w:val="20"/>
        </w:rPr>
        <w:t>Constatări și concluzii ale evaluării</w:t>
      </w:r>
    </w:p>
    <w:p w14:paraId="7168C35B" w14:textId="396D7AC2" w:rsidR="002D5485" w:rsidRDefault="002D5485" w:rsidP="002D5485">
      <w:pPr>
        <w:suppressAutoHyphens/>
        <w:spacing w:line="240" w:lineRule="auto"/>
        <w:jc w:val="both"/>
        <w:rPr>
          <w:rFonts w:ascii="Calibri" w:hAnsi="Calibri" w:cs="Calibri"/>
          <w:sz w:val="20"/>
          <w:szCs w:val="20"/>
        </w:rPr>
      </w:pPr>
      <w:r w:rsidRPr="002D5485">
        <w:rPr>
          <w:rFonts w:ascii="Calibri" w:hAnsi="Calibri" w:cs="Calibri"/>
          <w:sz w:val="20"/>
          <w:szCs w:val="20"/>
        </w:rPr>
        <w:t>Finanțarea totală alocată pentru această prioritate este de aproximativ 174 milioane EUR</w:t>
      </w:r>
      <w:r>
        <w:rPr>
          <w:rFonts w:ascii="Calibri" w:hAnsi="Calibri" w:cs="Calibri"/>
          <w:sz w:val="20"/>
          <w:szCs w:val="20"/>
        </w:rPr>
        <w:t xml:space="preserve"> FEDR + BS</w:t>
      </w:r>
      <w:r w:rsidRPr="002D5485">
        <w:rPr>
          <w:rFonts w:ascii="Calibri" w:hAnsi="Calibri" w:cs="Calibri"/>
          <w:sz w:val="20"/>
          <w:szCs w:val="20"/>
        </w:rPr>
        <w:t xml:space="preserve"> (149 milioane EUR pentru regiunea Sud-Est și 25 milioane EUR pentru zona Delta Dunării), reprezentând 12% din bugetul al programului. Principalele domenii de intervenție includ: dezvoltarea integrată în zonele urbane prin regenerare urbană, conservarea patrimoniului și dezvoltarea turismului, valorificarea potențialului turistic în zone non-urbane.</w:t>
      </w:r>
    </w:p>
    <w:p w14:paraId="29D24820" w14:textId="628C85A2" w:rsidR="002D5485" w:rsidRPr="002D5485" w:rsidRDefault="002D5485" w:rsidP="002D5485">
      <w:pPr>
        <w:pStyle w:val="ListParagraph"/>
        <w:tabs>
          <w:tab w:val="left" w:pos="90"/>
        </w:tabs>
        <w:suppressAutoHyphens/>
        <w:spacing w:before="120" w:after="120" w:line="240" w:lineRule="auto"/>
        <w:ind w:left="0"/>
        <w:contextualSpacing w:val="0"/>
        <w:jc w:val="both"/>
        <w:rPr>
          <w:rFonts w:ascii="Calibri" w:hAnsi="Calibri" w:cs="Calibri"/>
          <w:sz w:val="20"/>
          <w:szCs w:val="20"/>
        </w:rPr>
      </w:pPr>
      <w:r w:rsidRPr="002D5485">
        <w:rPr>
          <w:rFonts w:ascii="Calibri" w:hAnsi="Calibri" w:cs="Calibri"/>
          <w:sz w:val="20"/>
          <w:szCs w:val="20"/>
        </w:rPr>
        <w:t>F</w:t>
      </w:r>
      <w:r w:rsidRPr="002D5485">
        <w:rPr>
          <w:rFonts w:ascii="Calibri" w:hAnsi="Calibri" w:cs="Calibri"/>
          <w:sz w:val="20"/>
          <w:szCs w:val="20"/>
        </w:rPr>
        <w:t>inanțare la nivelul Priorității 6</w:t>
      </w:r>
      <w:r w:rsidRPr="002D5485">
        <w:rPr>
          <w:rFonts w:ascii="Calibri" w:hAnsi="Calibri" w:cs="Calibri"/>
          <w:sz w:val="20"/>
          <w:szCs w:val="20"/>
        </w:rPr>
        <w:t xml:space="preserve"> </w:t>
      </w:r>
      <w:r w:rsidRPr="002D5485">
        <w:rPr>
          <w:rFonts w:ascii="Calibri" w:hAnsi="Calibri" w:cs="Calibri"/>
          <w:sz w:val="20"/>
          <w:szCs w:val="20"/>
        </w:rPr>
        <w:t>reprezintă un sprijin important pentru regenerarea urbană, dezvoltarea infrastructurii turistice, protejarea și valorificarea patrimoniului natural și cultural din zonele urbane și non-urbane</w:t>
      </w:r>
      <w:r w:rsidRPr="002D5485">
        <w:rPr>
          <w:rFonts w:ascii="Calibri" w:hAnsi="Calibri" w:cs="Calibri"/>
          <w:sz w:val="20"/>
          <w:szCs w:val="20"/>
        </w:rPr>
        <w:t>, deși nu acoperă nevoile la nivel regional</w:t>
      </w:r>
      <w:r w:rsidRPr="002D5485">
        <w:rPr>
          <w:rFonts w:ascii="Calibri" w:hAnsi="Calibri" w:cs="Calibri"/>
          <w:sz w:val="20"/>
          <w:szCs w:val="20"/>
        </w:rPr>
        <w:t xml:space="preserve">. Este esențială complementaritatea acestor investiții cu alte surse de </w:t>
      </w:r>
      <w:r w:rsidRPr="002D5485">
        <w:rPr>
          <w:rFonts w:ascii="Calibri" w:hAnsi="Calibri" w:cs="Calibri"/>
          <w:sz w:val="20"/>
          <w:szCs w:val="20"/>
        </w:rPr>
        <w:lastRenderedPageBreak/>
        <w:t xml:space="preserve">finanțare, precum și menținerea standardelor ridicate impuse prin PRSE și, în general, prin finanțările UE, pentru a asigura schimbări vizibile la nivel local. De exemplu dezvoltarea și modernizarea infrastructurii de transport din regiune contribuie la dezvoltarea turismului în zonă. </w:t>
      </w:r>
    </w:p>
    <w:p w14:paraId="4FA2E666" w14:textId="323F90BC" w:rsidR="00AE0D9C" w:rsidRDefault="002D5485" w:rsidP="00AE0D9C">
      <w:pPr>
        <w:suppressAutoHyphens/>
        <w:spacing w:line="240" w:lineRule="auto"/>
        <w:jc w:val="both"/>
        <w:rPr>
          <w:rFonts w:ascii="Calibri" w:hAnsi="Calibri" w:cs="Calibri"/>
          <w:sz w:val="20"/>
          <w:szCs w:val="20"/>
        </w:rPr>
      </w:pPr>
      <w:r w:rsidRPr="002D5485">
        <w:rPr>
          <w:rFonts w:ascii="Calibri" w:hAnsi="Calibri" w:cs="Calibri"/>
          <w:sz w:val="20"/>
          <w:szCs w:val="20"/>
        </w:rPr>
        <w:t>Evaluarea a subliniat faptul că obiectivele Priorității 6 sunt aliniate atât cu direcțiile strategice stabilite de Uniunea Europeană, cât și cu nevoile specifice ale regiunii Sud-Est. Prioritatea 6 răspunde problemelor din regiune, cum ar fi starea precară a patrimoniului cultural, istoric și natural, calitatea scăzută a infrastructurilor adiacente, atractivitatea și funcționalitatea scăzută a spațiilor publice din zona urbană. Prioritatea 6 include măsuri specifice pentru orașele mici, având scopul de a reduce disparitățile regionale și de a le oferi acestora oportunități de dezvoltare.</w:t>
      </w:r>
      <w:r w:rsidR="00AE0D9C">
        <w:rPr>
          <w:rFonts w:ascii="Calibri" w:hAnsi="Calibri" w:cs="Calibri"/>
          <w:sz w:val="20"/>
          <w:szCs w:val="20"/>
        </w:rPr>
        <w:t xml:space="preserve"> </w:t>
      </w:r>
      <w:r w:rsidR="00AE0D9C" w:rsidRPr="00A86FAF">
        <w:rPr>
          <w:rFonts w:ascii="Calibri" w:hAnsi="Calibri" w:cs="Calibri"/>
          <w:sz w:val="20"/>
          <w:szCs w:val="20"/>
        </w:rPr>
        <w:t xml:space="preserve">În plus, investițiile destinate construcției și modernizării/reabilitării locuințelor sociale vor avea un impact semnificativ asupra îmbunătățirii condițiilor de viață pentru persoanele aflate în situații de vulnerabilitate socială. </w:t>
      </w:r>
    </w:p>
    <w:p w14:paraId="002E94F2" w14:textId="5E94E65A" w:rsidR="002D5485" w:rsidRPr="002D5485" w:rsidRDefault="002D5485" w:rsidP="002D5485">
      <w:pPr>
        <w:suppressAutoHyphens/>
        <w:spacing w:line="240" w:lineRule="auto"/>
        <w:jc w:val="both"/>
        <w:rPr>
          <w:rFonts w:ascii="Calibri" w:hAnsi="Calibri" w:cs="Calibri"/>
          <w:sz w:val="20"/>
          <w:szCs w:val="20"/>
        </w:rPr>
      </w:pPr>
      <w:r w:rsidRPr="002D5485">
        <w:rPr>
          <w:rFonts w:ascii="Calibri" w:hAnsi="Calibri" w:cs="Calibri"/>
          <w:sz w:val="20"/>
          <w:szCs w:val="20"/>
        </w:rPr>
        <w:t xml:space="preserve">Până la 31 decembrie 2024, au fost contractate 29 de proiecte în valoare de peste 60 miloane EUR </w:t>
      </w:r>
      <w:r>
        <w:rPr>
          <w:rFonts w:ascii="Calibri" w:hAnsi="Calibri" w:cs="Calibri"/>
          <w:sz w:val="20"/>
          <w:szCs w:val="20"/>
        </w:rPr>
        <w:t xml:space="preserve">FEDR + BS </w:t>
      </w:r>
      <w:r w:rsidRPr="002D5485">
        <w:rPr>
          <w:rFonts w:ascii="Calibri" w:hAnsi="Calibri" w:cs="Calibri"/>
          <w:sz w:val="20"/>
          <w:szCs w:val="20"/>
        </w:rPr>
        <w:t>ce reprezintă 35% din alocarea bugetară a Priorității 6. Din cele 29 de proiecte 6 sunt implementare în zona Delta Dunării. Proiectele se încadrează într-o gamă largă de domenii, inclusiv restaurarea și conservarea patrimoniului cultural, îmbunătățirea infrastructurii recreative, regenerarea urbană și promovarea turismului sustenabil. Acestea reflectă o abordare diversificată a dezvoltării regionale, având ca scop creșterea calității vieții și stimularea turismului, educației și a economiei locale.</w:t>
      </w:r>
    </w:p>
    <w:p w14:paraId="264CF53C" w14:textId="4BB5E19E" w:rsidR="002D5485" w:rsidRDefault="003D74F8" w:rsidP="003D74F8">
      <w:pPr>
        <w:suppressAutoHyphens/>
        <w:spacing w:line="240" w:lineRule="auto"/>
        <w:jc w:val="both"/>
        <w:rPr>
          <w:rFonts w:ascii="Calibri" w:hAnsi="Calibri" w:cs="Calibri"/>
          <w:sz w:val="20"/>
          <w:szCs w:val="20"/>
        </w:rPr>
      </w:pPr>
      <w:r w:rsidRPr="003D74F8">
        <w:rPr>
          <w:rFonts w:ascii="Calibri" w:hAnsi="Calibri" w:cs="Calibri"/>
          <w:sz w:val="20"/>
          <w:szCs w:val="20"/>
        </w:rPr>
        <w:t xml:space="preserve">Gradul de contractare indică o performanță bună la nivelul OS5.1, dar scăzută la nivelul OS5.2, performanța provenind din proiectele etapizate. Perfomanța înregistrată la 31.12.2024 la nivelul celor </w:t>
      </w:r>
      <w:r>
        <w:rPr>
          <w:rFonts w:ascii="Calibri" w:hAnsi="Calibri" w:cs="Calibri"/>
          <w:sz w:val="20"/>
          <w:szCs w:val="20"/>
        </w:rPr>
        <w:t>două</w:t>
      </w:r>
      <w:r w:rsidRPr="003D74F8">
        <w:rPr>
          <w:rFonts w:ascii="Calibri" w:hAnsi="Calibri" w:cs="Calibri"/>
          <w:sz w:val="20"/>
          <w:szCs w:val="20"/>
        </w:rPr>
        <w:t xml:space="preserve"> obiective specifice ale P6 arată că este nevoie de accelerarea lansării apelurilor de proiecte, dublată de reducerea perioadei de evaluare selecție și contractare.</w:t>
      </w:r>
    </w:p>
    <w:p w14:paraId="33537E90" w14:textId="4D572F83" w:rsidR="003D74F8" w:rsidRPr="003D74F8" w:rsidRDefault="003D74F8" w:rsidP="003D74F8">
      <w:pPr>
        <w:suppressAutoHyphens/>
        <w:spacing w:line="240" w:lineRule="auto"/>
        <w:jc w:val="both"/>
        <w:rPr>
          <w:rFonts w:ascii="Calibri" w:hAnsi="Calibri" w:cs="Calibri"/>
          <w:sz w:val="20"/>
          <w:szCs w:val="20"/>
        </w:rPr>
      </w:pPr>
      <w:r w:rsidRPr="003D74F8">
        <w:rPr>
          <w:rFonts w:ascii="Calibri" w:hAnsi="Calibri" w:cs="Calibri"/>
          <w:sz w:val="20"/>
          <w:szCs w:val="20"/>
        </w:rPr>
        <w:t xml:space="preserve">La nivelul OS5.1 se observă progrese în domeniul protejării, dezvoltarea și promovării patrimoniului cultural și a serviciilor culturale (28 de proiecte etapizate, din care 5 în zona ITI DD), </w:t>
      </w:r>
      <w:r w:rsidRPr="00AE0D9C">
        <w:rPr>
          <w:rFonts w:ascii="Calibri" w:hAnsi="Calibri" w:cs="Calibri"/>
          <w:sz w:val="20"/>
          <w:szCs w:val="20"/>
        </w:rPr>
        <w:t>fiind necesară accelerarea implementării</w:t>
      </w:r>
      <w:r w:rsidRPr="003D74F8">
        <w:rPr>
          <w:rFonts w:ascii="Calibri" w:hAnsi="Calibri" w:cs="Calibri"/>
          <w:sz w:val="20"/>
          <w:szCs w:val="20"/>
        </w:rPr>
        <w:t>. Progresul la nivelul OS5.2 este foarte scăzut, iar domeniul care arată un mic progres vizează protejarea, dezvoltarea și promovarea activelor turistice publice și a serviciilor turistice (un proiect etapizat implementat în zona ITI DD). Lipsa progresului din alte domenii ale OS5.1, cum ar fi regenerarea fizică și securitatea spațiilor publice sau protejarea, dezvoltarea și promovarea activelor turistice publice și a serviciilor turistice sau din alte domenii ale OS5.2, cum ar fi protejarea, dezvoltarea și promovarea patrimoniului cultural și a serviciilor culturale arată nevoia accelerării lansării apelurilor de proiecte, dublată de reducerea perioadei de evaluare selecție și contractare.</w:t>
      </w:r>
    </w:p>
    <w:p w14:paraId="30A0D60D" w14:textId="04661A99" w:rsidR="003D74F8" w:rsidRPr="003D74F8" w:rsidRDefault="003D74F8" w:rsidP="003D74F8">
      <w:pPr>
        <w:suppressAutoHyphens/>
        <w:spacing w:line="240" w:lineRule="auto"/>
        <w:jc w:val="both"/>
        <w:rPr>
          <w:rFonts w:ascii="Calibri" w:hAnsi="Calibri" w:cs="Calibri"/>
          <w:sz w:val="20"/>
          <w:szCs w:val="20"/>
        </w:rPr>
      </w:pPr>
      <w:r w:rsidRPr="003D74F8">
        <w:rPr>
          <w:rFonts w:ascii="Calibri" w:hAnsi="Calibri" w:cs="Calibri"/>
          <w:sz w:val="20"/>
          <w:szCs w:val="20"/>
        </w:rPr>
        <w:t>Perspectiva îndeplinirii țintelor cadrului de performanță este pozitivă și este susținută de interesul și cererea beneficiarilor pentru finanțare, peste bugetul alocat. Pe de altă parte însă există riscuri privind nefinalizarea proiectelor, dacă contractarea de proiecte noi continuă să întârzie, sau resursele financiare locale nu vor putea acoperi o eventuală creștere imprevizibilă a prețurilor.</w:t>
      </w:r>
    </w:p>
    <w:p w14:paraId="000582BA" w14:textId="655A458C" w:rsidR="005E6D2F" w:rsidRDefault="005E6D2F" w:rsidP="005E6D2F">
      <w:pPr>
        <w:suppressAutoHyphens/>
        <w:spacing w:line="240" w:lineRule="auto"/>
        <w:jc w:val="both"/>
        <w:rPr>
          <w:rFonts w:ascii="Calibri" w:hAnsi="Calibri" w:cs="Calibri"/>
          <w:sz w:val="20"/>
          <w:szCs w:val="20"/>
        </w:rPr>
      </w:pPr>
      <w:r w:rsidRPr="003D74F8">
        <w:rPr>
          <w:rFonts w:ascii="Calibri" w:hAnsi="Calibri" w:cs="Calibri"/>
          <w:sz w:val="20"/>
          <w:szCs w:val="20"/>
        </w:rPr>
        <w:t>Principalele provocări identificate la nivel program sunt legate de capacitate administrativă redusă la nivel local, (mult mai accentuată la nivelul orașelor mici și UAT-urilor din zona ITI Delta Dunării) ceea ce duce la întârzieri în elaborarea și aprobarea proiectelor, birocrația excesivă în procesele de achiziție publică ce afectează derularea eficientă a proiectelor, capacitatea limitată a constructorilor de a finaliza lucrările conform termenelor stabilite</w:t>
      </w:r>
      <w:r w:rsidR="003D74F8" w:rsidRPr="003D74F8">
        <w:rPr>
          <w:rFonts w:ascii="Calibri" w:hAnsi="Calibri" w:cs="Calibri"/>
          <w:sz w:val="20"/>
          <w:szCs w:val="20"/>
        </w:rPr>
        <w:t xml:space="preserve"> (</w:t>
      </w:r>
      <w:r w:rsidR="003D74F8" w:rsidRPr="003D74F8">
        <w:rPr>
          <w:rFonts w:ascii="Calibri" w:hAnsi="Calibri" w:cs="Calibri"/>
          <w:sz w:val="20"/>
          <w:szCs w:val="20"/>
        </w:rPr>
        <w:t>probleme neprevăzute în executarea lucrărilor, capacitatea profesională limitată, lipsa seriozității antreprenorilor, insolvența firmelor etc).</w:t>
      </w:r>
    </w:p>
    <w:p w14:paraId="3ACDEAFC" w14:textId="77777777" w:rsidR="005C243E" w:rsidRDefault="005C243E" w:rsidP="005C243E">
      <w:pPr>
        <w:suppressAutoHyphens/>
        <w:spacing w:line="240" w:lineRule="auto"/>
        <w:jc w:val="both"/>
        <w:rPr>
          <w:rFonts w:ascii="Calibri" w:hAnsi="Calibri" w:cs="Calibri"/>
          <w:sz w:val="20"/>
          <w:szCs w:val="20"/>
        </w:rPr>
      </w:pPr>
      <w:r w:rsidRPr="005C243E">
        <w:rPr>
          <w:rFonts w:ascii="Calibri" w:hAnsi="Calibri" w:cs="Calibri"/>
          <w:sz w:val="20"/>
          <w:szCs w:val="20"/>
        </w:rPr>
        <w:t>Colaborarea strânsă și comunicarea constantă între beneficiari și reprezentanții Autorității de Management asigură un proces eficient de implementare a proiectelor.</w:t>
      </w:r>
    </w:p>
    <w:p w14:paraId="19755B6C" w14:textId="77777777" w:rsidR="00F66648" w:rsidRPr="00F66648" w:rsidRDefault="00F66648" w:rsidP="00F66648">
      <w:pPr>
        <w:spacing w:line="240" w:lineRule="auto"/>
        <w:rPr>
          <w:rFonts w:ascii="Calibri" w:hAnsi="Calibri" w:cs="Calibri"/>
          <w:b/>
          <w:sz w:val="20"/>
          <w:szCs w:val="20"/>
        </w:rPr>
      </w:pPr>
      <w:r w:rsidRPr="00F66648">
        <w:rPr>
          <w:rFonts w:ascii="Calibri" w:hAnsi="Calibri" w:cs="Calibri"/>
          <w:b/>
          <w:bCs/>
          <w:sz w:val="20"/>
          <w:szCs w:val="20"/>
        </w:rPr>
        <w:t xml:space="preserve">Recomandări </w:t>
      </w:r>
    </w:p>
    <w:p w14:paraId="464105A4" w14:textId="77777777" w:rsidR="00F66648" w:rsidRPr="00F66648" w:rsidRDefault="00F66648" w:rsidP="00F66648">
      <w:pPr>
        <w:spacing w:line="240" w:lineRule="auto"/>
        <w:rPr>
          <w:rFonts w:ascii="Calibri" w:hAnsi="Calibri" w:cs="Calibri"/>
          <w:sz w:val="20"/>
          <w:szCs w:val="20"/>
        </w:rPr>
      </w:pPr>
      <w:r w:rsidRPr="00F66648">
        <w:rPr>
          <w:rFonts w:ascii="Calibri" w:hAnsi="Calibri" w:cs="Calibri"/>
          <w:sz w:val="20"/>
          <w:szCs w:val="20"/>
        </w:rPr>
        <w:t xml:space="preserve">Pentru îmbunătățirea dinamicii de implementare a programului, se recomandă: </w:t>
      </w:r>
    </w:p>
    <w:p w14:paraId="60BC914B" w14:textId="06F5F390" w:rsidR="0064102C" w:rsidRPr="00014A14"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t>Accelerarea lansării apelurilor de proiecte</w:t>
      </w:r>
      <w:r w:rsidRPr="00A65566">
        <w:rPr>
          <w:rFonts w:ascii="Calibri" w:hAnsi="Calibri" w:cs="Calibri"/>
          <w:sz w:val="20"/>
          <w:szCs w:val="20"/>
        </w:rPr>
        <w:t xml:space="preserve"> – Este esențială lansarea rapidă a noilor apeluri, în special pentru zona </w:t>
      </w:r>
      <w:r w:rsidRPr="00014A14">
        <w:rPr>
          <w:rFonts w:ascii="Calibri" w:hAnsi="Calibri" w:cs="Calibri"/>
          <w:sz w:val="20"/>
          <w:szCs w:val="20"/>
        </w:rPr>
        <w:t xml:space="preserve">ITI Delta Dunării, cu termene clare și sprijin extins pentru beneficiari în pregătirea cererilor de finanțare. </w:t>
      </w:r>
      <w:r w:rsidRPr="00014A14">
        <w:rPr>
          <w:rFonts w:ascii="Calibri" w:hAnsi="Calibri" w:cs="Calibri"/>
          <w:sz w:val="20"/>
          <w:szCs w:val="20"/>
        </w:rPr>
        <w:lastRenderedPageBreak/>
        <w:t>Menținerea unui calendar clar și predictibil al apelurilor, cu respectarea termenelor anunțate, elaborarea unor ghiduri clare pentru a evita publicarea de corrigendumuri pentru modificarea și completarea ulterioară a acestora, oferirea de sprijin adecvat beneficiarilor în înțelegerea cerințelor și prevederilor ghidului solicitantului sunt măsuri care vor contribui la succesul implementării programului.</w:t>
      </w:r>
    </w:p>
    <w:p w14:paraId="6A94D07F" w14:textId="376E97A0" w:rsidR="00014A14" w:rsidRPr="00014A14" w:rsidRDefault="00014A14" w:rsidP="00014A14">
      <w:pPr>
        <w:pStyle w:val="ListParagraph"/>
        <w:numPr>
          <w:ilvl w:val="0"/>
          <w:numId w:val="1"/>
        </w:numPr>
        <w:spacing w:after="0" w:line="240" w:lineRule="auto"/>
        <w:jc w:val="both"/>
        <w:rPr>
          <w:rFonts w:ascii="Calibri" w:hAnsi="Calibri" w:cs="Calibri"/>
          <w:sz w:val="20"/>
          <w:szCs w:val="20"/>
        </w:rPr>
      </w:pPr>
      <w:r w:rsidRPr="00014A14">
        <w:rPr>
          <w:rFonts w:ascii="Calibri" w:eastAsiaTheme="minorHAnsi" w:hAnsi="Calibri" w:cs="Calibri"/>
          <w:b/>
          <w:bCs/>
          <w:sz w:val="20"/>
          <w:szCs w:val="20"/>
        </w:rPr>
        <w:t>Dezvoltarea</w:t>
      </w:r>
      <w:r w:rsidRPr="00014A14">
        <w:rPr>
          <w:rFonts w:ascii="Calibri" w:hAnsi="Calibri" w:cs="Calibri"/>
          <w:b/>
          <w:bCs/>
          <w:sz w:val="20"/>
          <w:szCs w:val="20"/>
        </w:rPr>
        <w:t xml:space="preserve"> unei strategii de prioritizare a proiectelor</w:t>
      </w:r>
      <w:r w:rsidRPr="00014A14">
        <w:rPr>
          <w:rFonts w:ascii="Calibri" w:hAnsi="Calibri" w:cs="Calibri"/>
          <w:sz w:val="20"/>
          <w:szCs w:val="20"/>
        </w:rPr>
        <w:t xml:space="preserve"> în regiune și arealul ITI Delta Dunării.</w:t>
      </w:r>
    </w:p>
    <w:p w14:paraId="1CEC94B2" w14:textId="77777777"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t>Îmbunătățirea capacității administrative a Autorității de Management</w:t>
      </w:r>
      <w:r w:rsidRPr="00A65566">
        <w:rPr>
          <w:rFonts w:ascii="Calibri" w:hAnsi="Calibri" w:cs="Calibri"/>
          <w:sz w:val="20"/>
          <w:szCs w:val="20"/>
        </w:rPr>
        <w:t xml:space="preserve"> – Extinderea personalului (evaluatori, personal care elaborează ghidurile solicitantului, ofițeri de contractare ofițeri de monitorizare specializați), precum și optimizarea proceselor de evaluare, selecție, contractare, implementare sunt necesare pentru a evita întârzierile.</w:t>
      </w:r>
    </w:p>
    <w:p w14:paraId="3DF3E2A5" w14:textId="69AF069A"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lang w:val="en-US"/>
        </w:rPr>
      </w:pPr>
      <w:r w:rsidRPr="00A65566">
        <w:rPr>
          <w:rFonts w:ascii="Calibri" w:hAnsi="Calibri" w:cs="Calibri"/>
          <w:b/>
          <w:bCs/>
          <w:sz w:val="20"/>
          <w:szCs w:val="20"/>
          <w:lang w:val="en-US"/>
        </w:rPr>
        <w:t>Optimizarea proceselor administrative</w:t>
      </w:r>
      <w:r w:rsidRPr="00A65566">
        <w:rPr>
          <w:rFonts w:ascii="Calibri" w:hAnsi="Calibri" w:cs="Calibri"/>
          <w:sz w:val="20"/>
          <w:szCs w:val="20"/>
          <w:lang w:val="en-US"/>
        </w:rPr>
        <w:t xml:space="preserve"> – </w:t>
      </w:r>
      <w:r w:rsidRPr="00A65566">
        <w:rPr>
          <w:rFonts w:ascii="Calibri" w:hAnsi="Calibri" w:cs="Calibri"/>
          <w:sz w:val="20"/>
          <w:szCs w:val="20"/>
        </w:rPr>
        <w:t>Simplificarea</w:t>
      </w:r>
      <w:r w:rsidRPr="00A65566">
        <w:rPr>
          <w:rFonts w:ascii="Calibri" w:hAnsi="Calibri" w:cs="Calibri"/>
          <w:sz w:val="20"/>
          <w:szCs w:val="20"/>
          <w:lang w:val="en-US"/>
        </w:rPr>
        <w:t xml:space="preserve"> documentației solicitate, eliminarea redundanțelor în raportare și adaptarea mecanismelor de revizuire a bugetelor proiectelor pentru a reflecta creșterile de prețuri din piață. </w:t>
      </w:r>
      <w:r w:rsidRPr="00A65566">
        <w:rPr>
          <w:rFonts w:ascii="Calibri" w:hAnsi="Calibri" w:cs="Calibri"/>
          <w:sz w:val="20"/>
          <w:szCs w:val="20"/>
        </w:rPr>
        <w:t>Automatizarea proceselor prin dezvoltarea de noi funcționalități ale platformei MySMIS (de exemplu, interconectarea MySMIS cu diverse baze de date naționale, precum RECOM, REGAS, REVISAL, etc.), simplificarea și reducerea timpilor necesari pentru aprobarea actelor adiționale de modificare a contractelor de finanțare, dezvoltarea unor mecanisme simple și ușor de aplicat pentru a compensa eventualele creșteri de prețuri din piață (OUG nr. 15/2021 și nr. 64/2022 au fost mult prea complexe)</w:t>
      </w:r>
      <w:r w:rsidRPr="00A65566">
        <w:rPr>
          <w:rFonts w:ascii="Calibri" w:hAnsi="Calibri" w:cs="Calibri"/>
          <w:sz w:val="20"/>
          <w:szCs w:val="20"/>
          <w:lang w:val="en-US"/>
        </w:rPr>
        <w:t xml:space="preserve"> vor asigura optimiza</w:t>
      </w:r>
      <w:r w:rsidR="00A65566" w:rsidRPr="00A65566">
        <w:rPr>
          <w:rFonts w:ascii="Calibri" w:hAnsi="Calibri" w:cs="Calibri"/>
          <w:sz w:val="20"/>
          <w:szCs w:val="20"/>
          <w:lang w:val="en-US"/>
        </w:rPr>
        <w:t xml:space="preserve">rea </w:t>
      </w:r>
      <w:r w:rsidRPr="00A65566">
        <w:rPr>
          <w:rFonts w:ascii="Calibri" w:hAnsi="Calibri" w:cs="Calibri"/>
          <w:sz w:val="20"/>
          <w:szCs w:val="20"/>
          <w:lang w:val="en-US"/>
        </w:rPr>
        <w:t>implement</w:t>
      </w:r>
      <w:r w:rsidR="00A65566" w:rsidRPr="00A65566">
        <w:rPr>
          <w:rFonts w:ascii="Calibri" w:hAnsi="Calibri" w:cs="Calibri"/>
          <w:sz w:val="20"/>
          <w:szCs w:val="20"/>
          <w:lang w:val="en-US"/>
        </w:rPr>
        <w:t>ării</w:t>
      </w:r>
      <w:r w:rsidRPr="00A65566">
        <w:rPr>
          <w:rFonts w:ascii="Calibri" w:hAnsi="Calibri" w:cs="Calibri"/>
          <w:sz w:val="20"/>
          <w:szCs w:val="20"/>
          <w:lang w:val="en-US"/>
        </w:rPr>
        <w:t xml:space="preserve"> programului </w:t>
      </w:r>
    </w:p>
    <w:p w14:paraId="53FAB4E2" w14:textId="081BCFCC"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lang w:val="en-US"/>
        </w:rPr>
      </w:pPr>
      <w:r w:rsidRPr="00A65566">
        <w:rPr>
          <w:rFonts w:ascii="Calibri" w:hAnsi="Calibri" w:cs="Calibri"/>
          <w:b/>
          <w:bCs/>
          <w:sz w:val="20"/>
          <w:szCs w:val="20"/>
          <w:lang w:val="en-US"/>
        </w:rPr>
        <w:t>Creșterea sprijinului tehnic și administrativ oferit beneficiarilor</w:t>
      </w:r>
      <w:r w:rsidRPr="00A65566">
        <w:rPr>
          <w:rFonts w:ascii="Calibri" w:hAnsi="Calibri" w:cs="Calibri"/>
          <w:sz w:val="20"/>
          <w:szCs w:val="20"/>
          <w:lang w:val="en-US"/>
        </w:rPr>
        <w:t xml:space="preserve"> prin ghiduri metodologice detaliate, sesiuni de instruire periodice și suport dedicat pentru depășirea dificultăților legate de platforma </w:t>
      </w:r>
      <w:r w:rsidRPr="00A65566">
        <w:rPr>
          <w:rFonts w:ascii="Calibri" w:hAnsi="Calibri" w:cs="Calibri"/>
          <w:sz w:val="20"/>
          <w:szCs w:val="20"/>
        </w:rPr>
        <w:t>MySMIS</w:t>
      </w:r>
      <w:r w:rsidRPr="00A65566">
        <w:rPr>
          <w:rFonts w:ascii="Calibri" w:hAnsi="Calibri" w:cs="Calibri"/>
          <w:sz w:val="20"/>
          <w:szCs w:val="20"/>
          <w:lang w:val="en-US"/>
        </w:rPr>
        <w:t xml:space="preserve"> și cerințele DNSH și PEDS.</w:t>
      </w:r>
      <w:r w:rsidR="00A65566" w:rsidRPr="00A65566">
        <w:rPr>
          <w:rFonts w:ascii="Calibri" w:hAnsi="Calibri" w:cs="Calibri"/>
          <w:sz w:val="20"/>
          <w:szCs w:val="20"/>
          <w:lang w:val="en-US"/>
        </w:rPr>
        <w:t xml:space="preserve"> </w:t>
      </w:r>
      <w:r w:rsidRPr="00A65566">
        <w:rPr>
          <w:rFonts w:ascii="Calibri" w:hAnsi="Calibri" w:cs="Calibri"/>
          <w:sz w:val="20"/>
          <w:szCs w:val="20"/>
        </w:rPr>
        <w:t>Automatizarea proceselor prin dezvoltarea unor noi funcționalități ale platformei MySMIS</w:t>
      </w:r>
      <w:r w:rsidR="00A65566" w:rsidRPr="00A65566">
        <w:rPr>
          <w:rFonts w:ascii="Calibri" w:hAnsi="Calibri" w:cs="Calibri"/>
          <w:sz w:val="20"/>
          <w:szCs w:val="20"/>
        </w:rPr>
        <w:t xml:space="preserve"> (</w:t>
      </w:r>
      <w:r w:rsidRPr="00A65566">
        <w:rPr>
          <w:rFonts w:ascii="Calibri" w:hAnsi="Calibri" w:cs="Calibri"/>
          <w:sz w:val="20"/>
          <w:szCs w:val="20"/>
        </w:rPr>
        <w:t xml:space="preserve">de exemplu, posibilitatea de a încărca un document în mai multe secțiuni ale platformei prin simpla bifare a secțiunilor relevante </w:t>
      </w:r>
      <w:r w:rsidR="00A65566" w:rsidRPr="00A65566">
        <w:rPr>
          <w:rFonts w:ascii="Calibri" w:hAnsi="Calibri" w:cs="Calibri"/>
          <w:sz w:val="20"/>
          <w:szCs w:val="20"/>
        </w:rPr>
        <w:t xml:space="preserve">- </w:t>
      </w:r>
      <w:r w:rsidRPr="00A65566">
        <w:rPr>
          <w:rFonts w:ascii="Calibri" w:hAnsi="Calibri" w:cs="Calibri"/>
          <w:sz w:val="20"/>
          <w:szCs w:val="20"/>
        </w:rPr>
        <w:t>monitorizare</w:t>
      </w:r>
      <w:r w:rsidR="00A65566" w:rsidRPr="00A65566">
        <w:rPr>
          <w:rFonts w:ascii="Calibri" w:hAnsi="Calibri" w:cs="Calibri"/>
          <w:sz w:val="20"/>
          <w:szCs w:val="20"/>
        </w:rPr>
        <w:t xml:space="preserve">, </w:t>
      </w:r>
      <w:r w:rsidRPr="00A65566">
        <w:rPr>
          <w:rFonts w:ascii="Calibri" w:hAnsi="Calibri" w:cs="Calibri"/>
          <w:sz w:val="20"/>
          <w:szCs w:val="20"/>
        </w:rPr>
        <w:t>financiar)</w:t>
      </w:r>
      <w:r w:rsidR="00A65566" w:rsidRPr="00A65566">
        <w:rPr>
          <w:rFonts w:ascii="Calibri" w:hAnsi="Calibri" w:cs="Calibri"/>
          <w:sz w:val="20"/>
          <w:szCs w:val="20"/>
        </w:rPr>
        <w:t>, p</w:t>
      </w:r>
      <w:r w:rsidRPr="00A65566">
        <w:rPr>
          <w:rFonts w:ascii="Calibri" w:hAnsi="Calibri" w:cs="Calibri"/>
          <w:sz w:val="20"/>
          <w:szCs w:val="20"/>
        </w:rPr>
        <w:t>romovarea adecvată a sesiunilor de instruire, organizarea periodică a acestora pentru a sprijini beneficiarii atât în pregătirea cererilor de finanțare, cât și în etapa de implementare a proiectelor</w:t>
      </w:r>
      <w:r w:rsidR="00A65566" w:rsidRPr="00A65566">
        <w:rPr>
          <w:rFonts w:ascii="Calibri" w:hAnsi="Calibri" w:cs="Calibri"/>
          <w:sz w:val="20"/>
          <w:szCs w:val="20"/>
        </w:rPr>
        <w:t>, o</w:t>
      </w:r>
      <w:r w:rsidRPr="00A65566">
        <w:rPr>
          <w:rFonts w:ascii="Calibri" w:hAnsi="Calibri" w:cs="Calibri"/>
          <w:sz w:val="20"/>
          <w:szCs w:val="20"/>
        </w:rPr>
        <w:t xml:space="preserve">rganizarea de webinarii cu beneficiarii pentru a facilita schimbul de experiență în ceea ce privește dificultățile întâmpinate în implementare și soluțiile identificate, </w:t>
      </w:r>
      <w:r w:rsidR="00A65566" w:rsidRPr="00A65566">
        <w:rPr>
          <w:rFonts w:ascii="Calibri" w:hAnsi="Calibri" w:cs="Calibri"/>
          <w:sz w:val="20"/>
          <w:szCs w:val="20"/>
        </w:rPr>
        <w:t>s</w:t>
      </w:r>
      <w:r w:rsidRPr="00A65566">
        <w:rPr>
          <w:rFonts w:ascii="Calibri" w:hAnsi="Calibri" w:cs="Calibri"/>
          <w:sz w:val="20"/>
          <w:szCs w:val="20"/>
        </w:rPr>
        <w:t>prijin pentru ben</w:t>
      </w:r>
      <w:r w:rsidRPr="00A65566">
        <w:rPr>
          <w:rFonts w:ascii="Calibri" w:hAnsi="Calibri" w:cs="Calibri"/>
          <w:sz w:val="20"/>
          <w:szCs w:val="20"/>
          <w:lang w:val="en-US"/>
        </w:rPr>
        <w:t xml:space="preserve">eficiari în înțelegerea </w:t>
      </w:r>
      <w:r w:rsidR="00A65566" w:rsidRPr="00A65566">
        <w:rPr>
          <w:rFonts w:ascii="Calibri" w:hAnsi="Calibri" w:cs="Calibri"/>
          <w:sz w:val="20"/>
          <w:szCs w:val="20"/>
          <w:lang w:val="en-US"/>
        </w:rPr>
        <w:t>m</w:t>
      </w:r>
      <w:r w:rsidRPr="00A65566">
        <w:rPr>
          <w:rFonts w:ascii="Calibri" w:hAnsi="Calibri" w:cs="Calibri"/>
          <w:sz w:val="20"/>
          <w:szCs w:val="20"/>
          <w:lang w:val="en-US"/>
        </w:rPr>
        <w:t>etodologiei DNSH și aplicarea principiilor PEDS prin exemple practice și inovative</w:t>
      </w:r>
      <w:r w:rsidR="00A65566" w:rsidRPr="00A65566">
        <w:rPr>
          <w:rFonts w:ascii="Calibri" w:hAnsi="Calibri" w:cs="Calibri"/>
          <w:sz w:val="20"/>
          <w:szCs w:val="20"/>
          <w:lang w:val="en-US"/>
        </w:rPr>
        <w:t xml:space="preserve"> sunt măsuri ce pot contribui la îmbunătățirea implementării programului. </w:t>
      </w:r>
    </w:p>
    <w:p w14:paraId="60C5FD63" w14:textId="77777777" w:rsidR="0064102C" w:rsidRPr="00A65566" w:rsidRDefault="0064102C" w:rsidP="00A65566">
      <w:pPr>
        <w:pStyle w:val="ListParagraph"/>
        <w:numPr>
          <w:ilvl w:val="0"/>
          <w:numId w:val="1"/>
        </w:numPr>
        <w:spacing w:before="120" w:after="120" w:line="240" w:lineRule="auto"/>
        <w:jc w:val="both"/>
        <w:rPr>
          <w:rFonts w:ascii="Calibri" w:hAnsi="Calibri" w:cs="Calibri"/>
          <w:sz w:val="20"/>
          <w:szCs w:val="20"/>
        </w:rPr>
      </w:pPr>
      <w:r w:rsidRPr="00A65566">
        <w:rPr>
          <w:rFonts w:ascii="Calibri" w:hAnsi="Calibri" w:cs="Calibri"/>
          <w:b/>
          <w:bCs/>
          <w:sz w:val="20"/>
          <w:szCs w:val="20"/>
        </w:rPr>
        <w:t>Asistență tehnică personalizată pentru beneficiarii cu capacitate administrativă redusă</w:t>
      </w:r>
      <w:r w:rsidRPr="00A65566">
        <w:rPr>
          <w:rFonts w:ascii="Calibri" w:hAnsi="Calibri" w:cs="Calibri"/>
          <w:sz w:val="20"/>
          <w:szCs w:val="20"/>
        </w:rPr>
        <w:t>, în special orașele mici, pentru a evita blocajele și întârzierile.</w:t>
      </w:r>
    </w:p>
    <w:p w14:paraId="45B8B1BC" w14:textId="77777777" w:rsidR="0064102C" w:rsidRPr="00A65566" w:rsidRDefault="0064102C" w:rsidP="0064102C">
      <w:pPr>
        <w:spacing w:before="120" w:after="120" w:line="240" w:lineRule="auto"/>
        <w:jc w:val="both"/>
        <w:rPr>
          <w:rFonts w:ascii="Calibri" w:hAnsi="Calibri" w:cs="Calibri"/>
          <w:sz w:val="20"/>
          <w:szCs w:val="20"/>
        </w:rPr>
      </w:pPr>
    </w:p>
    <w:sectPr w:rsidR="0064102C" w:rsidRPr="00A6556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4048" w14:textId="77777777" w:rsidR="00870953" w:rsidRDefault="00870953" w:rsidP="005C6B44">
      <w:pPr>
        <w:spacing w:after="0" w:line="240" w:lineRule="auto"/>
      </w:pPr>
      <w:r>
        <w:separator/>
      </w:r>
    </w:p>
  </w:endnote>
  <w:endnote w:type="continuationSeparator" w:id="0">
    <w:p w14:paraId="4F002B94" w14:textId="77777777" w:rsidR="00870953" w:rsidRDefault="00870953" w:rsidP="005C6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41A0E" w14:textId="6B48CD90" w:rsidR="00BD46AB" w:rsidRDefault="00D814BF">
    <w:pPr>
      <w:pStyle w:val="Footer"/>
    </w:pPr>
    <w:r w:rsidRPr="00D814BF">
      <w:rPr>
        <w:noProof/>
      </w:rPr>
      <w:drawing>
        <wp:inline distT="0" distB="0" distL="0" distR="0" wp14:anchorId="439098DD" wp14:editId="75FA12B9">
          <wp:extent cx="5943600" cy="281940"/>
          <wp:effectExtent l="0" t="0" r="0" b="0"/>
          <wp:docPr id="13927816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r w:rsidR="00BD46AB" w:rsidRPr="003A668F">
      <w:rPr>
        <w:rFonts w:ascii="Calibri" w:hAnsi="Calibri" w:cs="Calibri"/>
        <w:b/>
        <w:bCs/>
        <w:noProof/>
        <w:color w:val="213F99"/>
        <w:sz w:val="20"/>
        <w:szCs w:val="20"/>
      </w:rPr>
      <w:drawing>
        <wp:anchor distT="0" distB="0" distL="114300" distR="114300" simplePos="0" relativeHeight="251659264" behindDoc="0" locked="0" layoutInCell="1" allowOverlap="1" wp14:anchorId="4EDDB700" wp14:editId="435B7869">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2">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9A2D1" w14:textId="77777777" w:rsidR="00870953" w:rsidRDefault="00870953" w:rsidP="005C6B44">
      <w:pPr>
        <w:spacing w:after="0" w:line="240" w:lineRule="auto"/>
      </w:pPr>
      <w:r>
        <w:separator/>
      </w:r>
    </w:p>
  </w:footnote>
  <w:footnote w:type="continuationSeparator" w:id="0">
    <w:p w14:paraId="77B4F6B3" w14:textId="77777777" w:rsidR="00870953" w:rsidRDefault="00870953" w:rsidP="005C6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62110" w14:textId="62EAAC75" w:rsidR="005C6B44" w:rsidRPr="005C6B44" w:rsidRDefault="005C6B44" w:rsidP="005C6B44">
    <w:pPr>
      <w:pStyle w:val="Header"/>
      <w:rPr>
        <w:lang w:val="en-US"/>
      </w:rPr>
    </w:pPr>
    <w:r w:rsidRPr="005C6B44">
      <w:rPr>
        <w:noProof/>
        <w:lang w:val="en-US"/>
      </w:rPr>
      <w:drawing>
        <wp:inline distT="0" distB="0" distL="0" distR="0" wp14:anchorId="1423B0E6" wp14:editId="400D8D18">
          <wp:extent cx="5943600" cy="659765"/>
          <wp:effectExtent l="0" t="0" r="0" b="6985"/>
          <wp:docPr id="5183924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9765"/>
                  </a:xfrm>
                  <a:prstGeom prst="rect">
                    <a:avLst/>
                  </a:prstGeom>
                  <a:noFill/>
                  <a:ln>
                    <a:noFill/>
                  </a:ln>
                </pic:spPr>
              </pic:pic>
            </a:graphicData>
          </a:graphic>
        </wp:inline>
      </w:drawing>
    </w:r>
  </w:p>
  <w:p w14:paraId="4DBDB2D6" w14:textId="77777777" w:rsidR="005C6B44" w:rsidRDefault="005C6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A073E"/>
    <w:multiLevelType w:val="multilevel"/>
    <w:tmpl w:val="BAB40B72"/>
    <w:lvl w:ilvl="0">
      <w:start w:val="1"/>
      <w:numFmt w:val="decimal"/>
      <w:lvlText w:val="%1."/>
      <w:lvlJc w:val="left"/>
      <w:rPr>
        <w:rFonts w:ascii="Calibri" w:hAnsi="Calibri" w:cs="Calibri" w:hint="default"/>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1">
      <w:start w:val="1"/>
      <w:numFmt w:val="decimal"/>
      <w:isLgl/>
      <w:lvlText w:val="%1.%2."/>
      <w:lvlJc w:val="left"/>
      <w:pPr>
        <w:ind w:left="1797" w:hanging="360"/>
      </w:pPr>
      <w:rPr>
        <w:rFonts w:hint="default"/>
      </w:rPr>
    </w:lvl>
    <w:lvl w:ilvl="2">
      <w:start w:val="1"/>
      <w:numFmt w:val="decimal"/>
      <w:isLgl/>
      <w:lvlText w:val="%1.%2.%3."/>
      <w:lvlJc w:val="left"/>
      <w:pPr>
        <w:ind w:left="2874" w:hanging="720"/>
      </w:pPr>
      <w:rPr>
        <w:rFonts w:hint="default"/>
      </w:rPr>
    </w:lvl>
    <w:lvl w:ilvl="3">
      <w:start w:val="1"/>
      <w:numFmt w:val="decimal"/>
      <w:isLgl/>
      <w:lvlText w:val="%1.%2.%3.%4."/>
      <w:lvlJc w:val="left"/>
      <w:pPr>
        <w:ind w:left="3591" w:hanging="720"/>
      </w:pPr>
      <w:rPr>
        <w:rFonts w:hint="default"/>
      </w:rPr>
    </w:lvl>
    <w:lvl w:ilvl="4">
      <w:start w:val="1"/>
      <w:numFmt w:val="decimal"/>
      <w:isLgl/>
      <w:lvlText w:val="%1.%2.%3.%4.%5."/>
      <w:lvlJc w:val="left"/>
      <w:pPr>
        <w:ind w:left="4668" w:hanging="1080"/>
      </w:pPr>
      <w:rPr>
        <w:rFonts w:hint="default"/>
      </w:rPr>
    </w:lvl>
    <w:lvl w:ilvl="5">
      <w:start w:val="1"/>
      <w:numFmt w:val="decimal"/>
      <w:isLgl/>
      <w:lvlText w:val="%1.%2.%3.%4.%5.%6."/>
      <w:lvlJc w:val="left"/>
      <w:pPr>
        <w:ind w:left="5385" w:hanging="1080"/>
      </w:pPr>
      <w:rPr>
        <w:rFonts w:hint="default"/>
      </w:rPr>
    </w:lvl>
    <w:lvl w:ilvl="6">
      <w:start w:val="1"/>
      <w:numFmt w:val="decimal"/>
      <w:isLgl/>
      <w:lvlText w:val="%1.%2.%3.%4.%5.%6.%7."/>
      <w:lvlJc w:val="left"/>
      <w:pPr>
        <w:ind w:left="6462" w:hanging="1440"/>
      </w:pPr>
      <w:rPr>
        <w:rFonts w:hint="default"/>
      </w:rPr>
    </w:lvl>
    <w:lvl w:ilvl="7">
      <w:start w:val="1"/>
      <w:numFmt w:val="decimal"/>
      <w:isLgl/>
      <w:lvlText w:val="%1.%2.%3.%4.%5.%6.%7.%8."/>
      <w:lvlJc w:val="left"/>
      <w:pPr>
        <w:ind w:left="7179" w:hanging="1440"/>
      </w:pPr>
      <w:rPr>
        <w:rFonts w:hint="default"/>
      </w:rPr>
    </w:lvl>
    <w:lvl w:ilvl="8">
      <w:start w:val="1"/>
      <w:numFmt w:val="decimal"/>
      <w:isLgl/>
      <w:lvlText w:val="%1.%2.%3.%4.%5.%6.%7.%8.%9."/>
      <w:lvlJc w:val="left"/>
      <w:pPr>
        <w:ind w:left="8256" w:hanging="1800"/>
      </w:pPr>
      <w:rPr>
        <w:rFonts w:hint="default"/>
      </w:rPr>
    </w:lvl>
  </w:abstractNum>
  <w:abstractNum w:abstractNumId="1" w15:restartNumberingAfterBreak="0">
    <w:nsid w:val="2BDF3AE1"/>
    <w:multiLevelType w:val="singleLevel"/>
    <w:tmpl w:val="A502A7AE"/>
    <w:lvl w:ilvl="0">
      <w:start w:val="1"/>
      <w:numFmt w:val="bullet"/>
      <w:lvlText w:val=""/>
      <w:lvlJc w:val="left"/>
      <w:pPr>
        <w:ind w:left="360" w:hanging="360"/>
      </w:pPr>
      <w:rPr>
        <w:rFonts w:ascii="Symbol" w:hAnsi="Symbol" w:hint="default"/>
        <w:color w:val="77206D" w:themeColor="accent5" w:themeShade="BF"/>
        <w:sz w:val="20"/>
        <w:szCs w:val="20"/>
      </w:rPr>
    </w:lvl>
  </w:abstractNum>
  <w:abstractNum w:abstractNumId="2" w15:restartNumberingAfterBreak="0">
    <w:nsid w:val="6D1635D5"/>
    <w:multiLevelType w:val="hybridMultilevel"/>
    <w:tmpl w:val="CDF48B8E"/>
    <w:lvl w:ilvl="0" w:tplc="A502A7AE">
      <w:start w:val="1"/>
      <w:numFmt w:val="bullet"/>
      <w:lvlText w:val=""/>
      <w:lvlJc w:val="left"/>
      <w:pPr>
        <w:ind w:left="720" w:hanging="360"/>
      </w:pPr>
      <w:rPr>
        <w:rFonts w:ascii="Symbol" w:hAnsi="Symbol" w:hint="default"/>
        <w:color w:val="77206D" w:themeColor="accent5" w:themeShade="B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5F759A"/>
    <w:multiLevelType w:val="hybridMultilevel"/>
    <w:tmpl w:val="D438E87C"/>
    <w:lvl w:ilvl="0" w:tplc="5B30B87C">
      <w:start w:val="1"/>
      <w:numFmt w:val="bullet"/>
      <w:lvlText w:val=""/>
      <w:lvlJc w:val="left"/>
      <w:pPr>
        <w:ind w:left="360" w:hanging="360"/>
      </w:pPr>
      <w:rPr>
        <w:rFonts w:ascii="Symbol" w:hAnsi="Symbol" w:hint="default"/>
        <w:color w:val="77206D" w:themeColor="accent5"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25730352">
    <w:abstractNumId w:val="2"/>
  </w:num>
  <w:num w:numId="2" w16cid:durableId="817068777">
    <w:abstractNumId w:val="0"/>
  </w:num>
  <w:num w:numId="3" w16cid:durableId="1091046817">
    <w:abstractNumId w:val="1"/>
  </w:num>
  <w:num w:numId="4" w16cid:durableId="12702365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4A02E4"/>
    <w:rsid w:val="00014A14"/>
    <w:rsid w:val="00096A40"/>
    <w:rsid w:val="000D4D69"/>
    <w:rsid w:val="00291517"/>
    <w:rsid w:val="002D5485"/>
    <w:rsid w:val="003D74F8"/>
    <w:rsid w:val="00447A2C"/>
    <w:rsid w:val="004608B8"/>
    <w:rsid w:val="004A6DE6"/>
    <w:rsid w:val="005C243E"/>
    <w:rsid w:val="005C6B44"/>
    <w:rsid w:val="005E6D2F"/>
    <w:rsid w:val="0064102C"/>
    <w:rsid w:val="007F6073"/>
    <w:rsid w:val="00870953"/>
    <w:rsid w:val="00920F10"/>
    <w:rsid w:val="00A65566"/>
    <w:rsid w:val="00A86FAF"/>
    <w:rsid w:val="00AE0D9C"/>
    <w:rsid w:val="00BD46AB"/>
    <w:rsid w:val="00D814BF"/>
    <w:rsid w:val="00EB7929"/>
    <w:rsid w:val="00F66648"/>
    <w:rsid w:val="084A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A02E4"/>
  <w15:chartTrackingRefBased/>
  <w15:docId w15:val="{DAAABD20-DAA6-4E86-A0CC-D9C18C2A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99"/>
    <w:qFormat/>
    <w:rsid w:val="00F66648"/>
    <w:pPr>
      <w:ind w:left="720"/>
      <w:contextualSpacing/>
    </w:p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99"/>
    <w:qFormat/>
    <w:locked/>
    <w:rsid w:val="00F66648"/>
    <w:rPr>
      <w:lang w:val="ro-RO"/>
    </w:rPr>
  </w:style>
  <w:style w:type="paragraph" w:styleId="Header">
    <w:name w:val="header"/>
    <w:basedOn w:val="Normal"/>
    <w:link w:val="HeaderChar"/>
    <w:uiPriority w:val="99"/>
    <w:unhideWhenUsed/>
    <w:rsid w:val="005C6B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B44"/>
    <w:rPr>
      <w:lang w:val="ro-RO"/>
    </w:rPr>
  </w:style>
  <w:style w:type="paragraph" w:styleId="Footer">
    <w:name w:val="footer"/>
    <w:basedOn w:val="Normal"/>
    <w:link w:val="FooterChar"/>
    <w:uiPriority w:val="99"/>
    <w:unhideWhenUsed/>
    <w:rsid w:val="005C6B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B44"/>
    <w:rPr>
      <w:lang w:val="ro-RO"/>
    </w:rPr>
  </w:style>
  <w:style w:type="character" w:customStyle="1" w:styleId="normaltextrun">
    <w:name w:val="normaltextrun"/>
    <w:basedOn w:val="DefaultParagraphFont"/>
    <w:rsid w:val="004A6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17473">
      <w:bodyDiv w:val="1"/>
      <w:marLeft w:val="0"/>
      <w:marRight w:val="0"/>
      <w:marTop w:val="0"/>
      <w:marBottom w:val="0"/>
      <w:divBdr>
        <w:top w:val="none" w:sz="0" w:space="0" w:color="auto"/>
        <w:left w:val="none" w:sz="0" w:space="0" w:color="auto"/>
        <w:bottom w:val="none" w:sz="0" w:space="0" w:color="auto"/>
        <w:right w:val="none" w:sz="0" w:space="0" w:color="auto"/>
      </w:divBdr>
    </w:div>
    <w:div w:id="6432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98A7F7-C80C-4538-B6E8-90B7826E1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3043EB-222A-4381-A32F-E3D10E356AAD}">
  <ds:schemaRefs>
    <ds:schemaRef ds:uri="http://schemas.microsoft.com/sharepoint/v3/contenttype/forms"/>
  </ds:schemaRefs>
</ds:datastoreItem>
</file>

<file path=customXml/itemProps3.xml><?xml version="1.0" encoding="utf-8"?>
<ds:datastoreItem xmlns:ds="http://schemas.openxmlformats.org/officeDocument/2006/customXml" ds:itemID="{F8E83287-3757-496A-A35D-4250A596F549}">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1772</Words>
  <Characters>10104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Corina Rosu</cp:lastModifiedBy>
  <cp:revision>8</cp:revision>
  <dcterms:created xsi:type="dcterms:W3CDTF">2025-03-24T09:01:00Z</dcterms:created>
  <dcterms:modified xsi:type="dcterms:W3CDTF">2025-03-25T18:24:00Z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