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5DA0E" w14:textId="6C2D1A16" w:rsidR="008B486F" w:rsidRPr="002725CB" w:rsidRDefault="008B486F" w:rsidP="00CF49AD">
      <w:pPr>
        <w:pStyle w:val="Heading2"/>
        <w:rPr>
          <w:rFonts w:ascii="Calibri" w:hAnsi="Calibri" w:cs="Calibri"/>
          <w:b/>
          <w:bCs/>
          <w:color w:val="213F99"/>
          <w:sz w:val="28"/>
          <w:szCs w:val="28"/>
        </w:rPr>
      </w:pPr>
      <w:r w:rsidRPr="002725CB">
        <w:rPr>
          <w:rFonts w:ascii="Calibri" w:hAnsi="Calibri" w:cs="Calibri"/>
          <w:b/>
          <w:bCs/>
          <w:color w:val="213F99"/>
          <w:sz w:val="28"/>
          <w:szCs w:val="28"/>
        </w:rPr>
        <w:t xml:space="preserve">Sumar executiv </w:t>
      </w:r>
    </w:p>
    <w:p w14:paraId="4F4B3A81" w14:textId="77777777" w:rsidR="008B486F" w:rsidRPr="00192ED5" w:rsidRDefault="008B486F" w:rsidP="008B486F">
      <w:pPr>
        <w:suppressAutoHyphens/>
        <w:spacing w:before="120" w:after="120" w:line="240" w:lineRule="auto"/>
        <w:jc w:val="both"/>
        <w:rPr>
          <w:rFonts w:ascii="Calibri" w:eastAsia="Calibri" w:hAnsi="Calibri" w:cs="Calibri"/>
          <w:sz w:val="20"/>
          <w:szCs w:val="20"/>
          <w:lang w:eastAsia="en-US"/>
        </w:rPr>
      </w:pPr>
      <w:r w:rsidRPr="00192ED5">
        <w:rPr>
          <w:rFonts w:ascii="Calibri" w:eastAsia="Calibri" w:hAnsi="Calibri" w:cs="Calibri"/>
          <w:sz w:val="20"/>
          <w:szCs w:val="20"/>
          <w:lang w:eastAsia="en-US"/>
        </w:rPr>
        <w:t xml:space="preserve">Provocările structurale care au fundamentat intervențiile din cadrul Priorității 5, respectiv necesitatea modernizării infrastructurii educaționale și facilitarea accesului la educație de calitate, continuă să fie o prioritate pentru regiunea Sud-Est, din cauza disparităților semnificative între județe și nivelurile de învățământ. </w:t>
      </w:r>
    </w:p>
    <w:p w14:paraId="14104487" w14:textId="77777777" w:rsidR="008B486F" w:rsidRPr="00192ED5" w:rsidRDefault="008B486F" w:rsidP="008B486F">
      <w:pPr>
        <w:suppressAutoHyphens/>
        <w:spacing w:before="120" w:after="120" w:line="240" w:lineRule="auto"/>
        <w:jc w:val="both"/>
        <w:rPr>
          <w:rFonts w:ascii="Calibri" w:eastAsia="Calibri" w:hAnsi="Calibri" w:cs="Calibri"/>
          <w:sz w:val="20"/>
          <w:szCs w:val="20"/>
          <w:lang w:eastAsia="en-US"/>
        </w:rPr>
      </w:pPr>
      <w:r>
        <w:rPr>
          <w:rFonts w:ascii="Calibri" w:eastAsia="Calibri" w:hAnsi="Calibri" w:cs="Calibri"/>
          <w:sz w:val="20"/>
          <w:szCs w:val="20"/>
          <w:lang w:eastAsia="en-US"/>
        </w:rPr>
        <w:t>O</w:t>
      </w:r>
      <w:r w:rsidRPr="00192ED5">
        <w:rPr>
          <w:rFonts w:ascii="Calibri" w:eastAsia="Calibri" w:hAnsi="Calibri" w:cs="Calibri"/>
          <w:sz w:val="20"/>
          <w:szCs w:val="20"/>
          <w:lang w:eastAsia="en-US"/>
        </w:rPr>
        <w:t>ferta limitată de tabere școlare și centre de agrement reduce oportunitățile de implicare a elevilor în activități extrașcolare. Nivelul de performanță educațională se menține sub media Uniunii Europene, aspect evidențiat prin scorurile modeste obținute la testările PISA, rata crescută a abandonului școlar timpuriu și o participare scăzută la învățământul terțiar</w:t>
      </w:r>
      <w:r>
        <w:rPr>
          <w:rFonts w:ascii="Calibri" w:eastAsia="Calibri" w:hAnsi="Calibri" w:cs="Calibri"/>
          <w:sz w:val="20"/>
          <w:szCs w:val="20"/>
          <w:lang w:eastAsia="en-US"/>
        </w:rPr>
        <w:t>.</w:t>
      </w:r>
    </w:p>
    <w:p w14:paraId="4F21A477" w14:textId="5322A5C1" w:rsidR="008B486F" w:rsidRPr="00192ED5" w:rsidRDefault="007F7A3E" w:rsidP="008B486F">
      <w:pPr>
        <w:suppressAutoHyphens/>
        <w:spacing w:before="120" w:after="120" w:line="240" w:lineRule="auto"/>
        <w:jc w:val="both"/>
        <w:rPr>
          <w:rFonts w:ascii="Calibri" w:eastAsia="Calibri" w:hAnsi="Calibri" w:cs="Calibri"/>
          <w:sz w:val="20"/>
          <w:szCs w:val="20"/>
          <w:lang w:eastAsia="en-US"/>
        </w:rPr>
      </w:pPr>
      <w:r w:rsidRPr="00437F93">
        <w:rPr>
          <w:noProof/>
        </w:rPr>
        <w:drawing>
          <wp:anchor distT="0" distB="0" distL="114300" distR="114300" simplePos="0" relativeHeight="251659264" behindDoc="0" locked="0" layoutInCell="1" allowOverlap="1" wp14:anchorId="5F8C5748" wp14:editId="7D45AE14">
            <wp:simplePos x="0" y="0"/>
            <wp:positionH relativeFrom="margin">
              <wp:posOffset>-20320</wp:posOffset>
            </wp:positionH>
            <wp:positionV relativeFrom="paragraph">
              <wp:posOffset>18415</wp:posOffset>
            </wp:positionV>
            <wp:extent cx="1899285" cy="847725"/>
            <wp:effectExtent l="0" t="0" r="5715" b="9525"/>
            <wp:wrapSquare wrapText="bothSides"/>
            <wp:docPr id="10096006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9285" cy="847725"/>
                    </a:xfrm>
                    <a:prstGeom prst="rect">
                      <a:avLst/>
                    </a:prstGeom>
                    <a:noFill/>
                    <a:ln>
                      <a:noFill/>
                    </a:ln>
                  </pic:spPr>
                </pic:pic>
              </a:graphicData>
            </a:graphic>
            <wp14:sizeRelH relativeFrom="page">
              <wp14:pctWidth>0</wp14:pctWidth>
            </wp14:sizeRelH>
            <wp14:sizeRelV relativeFrom="page">
              <wp14:pctHeight>0</wp14:pctHeight>
            </wp14:sizeRelV>
          </wp:anchor>
        </w:drawing>
      </w:r>
      <w:r w:rsidR="008B486F" w:rsidRPr="00192ED5">
        <w:rPr>
          <w:rFonts w:ascii="Calibri" w:eastAsia="Calibri" w:hAnsi="Calibri" w:cs="Calibri"/>
          <w:sz w:val="20"/>
          <w:szCs w:val="20"/>
          <w:lang w:eastAsia="en-US"/>
        </w:rPr>
        <w:t>Intervențiile Priorității 5 sunt aliniate cu Recomandările Specifice de Țară formulate în perioada 2019-2024 care rămân relevante în continuare</w:t>
      </w:r>
      <w:r w:rsidR="008B486F">
        <w:rPr>
          <w:rFonts w:ascii="Calibri" w:eastAsia="Calibri" w:hAnsi="Calibri" w:cs="Calibri"/>
          <w:sz w:val="20"/>
          <w:szCs w:val="20"/>
          <w:lang w:eastAsia="en-US"/>
        </w:rPr>
        <w:t>.</w:t>
      </w:r>
      <w:r w:rsidR="008B486F" w:rsidRPr="00192ED5">
        <w:rPr>
          <w:rFonts w:ascii="Calibri" w:eastAsia="Calibri" w:hAnsi="Calibri" w:cs="Calibri"/>
          <w:sz w:val="20"/>
          <w:szCs w:val="20"/>
          <w:lang w:eastAsia="en-US"/>
        </w:rPr>
        <w:t xml:space="preserve"> conform Raportului de </w:t>
      </w:r>
      <w:r w:rsidR="00647EA4">
        <w:rPr>
          <w:rFonts w:ascii="Calibri" w:eastAsia="Calibri" w:hAnsi="Calibri" w:cs="Calibri"/>
          <w:sz w:val="20"/>
          <w:szCs w:val="20"/>
          <w:lang w:eastAsia="en-US"/>
        </w:rPr>
        <w:t>Ț</w:t>
      </w:r>
      <w:r w:rsidR="008B486F" w:rsidRPr="00192ED5">
        <w:rPr>
          <w:rFonts w:ascii="Calibri" w:eastAsia="Calibri" w:hAnsi="Calibri" w:cs="Calibri"/>
          <w:sz w:val="20"/>
          <w:szCs w:val="20"/>
          <w:lang w:eastAsia="en-US"/>
        </w:rPr>
        <w:t>ară din 2024. P5 contribuie la RSȚ3 20219 și RSȚ2 2020 în ceea ce privește investițiile în infrastructura educațională</w:t>
      </w:r>
      <w:r w:rsidR="008B486F">
        <w:rPr>
          <w:rFonts w:ascii="Calibri" w:eastAsia="Calibri" w:hAnsi="Calibri" w:cs="Calibri"/>
          <w:sz w:val="20"/>
          <w:szCs w:val="20"/>
          <w:lang w:eastAsia="en-US"/>
        </w:rPr>
        <w:t xml:space="preserve">. </w:t>
      </w:r>
      <w:r w:rsidR="008B486F" w:rsidRPr="00192ED5">
        <w:rPr>
          <w:rFonts w:ascii="Calibri" w:eastAsia="Calibri" w:hAnsi="Calibri" w:cs="Calibri"/>
          <w:sz w:val="20"/>
          <w:szCs w:val="20"/>
          <w:lang w:eastAsia="en-US"/>
        </w:rPr>
        <w:t xml:space="preserve">Gradul de contractare indică un progres moderat, iar măsurile pentru grupurile defavorizate și cele de tip FSE+ trebuie susținute în continuare, întrucât constatările RSȚ din mai 2024 relevă un nivel redus de implementare a recomandărilor în domeniul educației, subliniind necesitatea intensificării eforturilor pentru atingerea țintelor asumate. </w:t>
      </w:r>
    </w:p>
    <w:p w14:paraId="58AF56A0" w14:textId="77777777" w:rsidR="008B486F" w:rsidRPr="00192ED5" w:rsidRDefault="008B486F" w:rsidP="008B486F">
      <w:pPr>
        <w:suppressAutoHyphens/>
        <w:spacing w:before="120" w:after="120" w:line="240" w:lineRule="auto"/>
        <w:jc w:val="both"/>
        <w:rPr>
          <w:rFonts w:ascii="Calibri" w:eastAsia="Calibri" w:hAnsi="Calibri" w:cs="Calibri"/>
          <w:sz w:val="20"/>
          <w:szCs w:val="20"/>
          <w:lang w:eastAsia="en-US"/>
        </w:rPr>
      </w:pPr>
      <w:r w:rsidRPr="00192ED5">
        <w:rPr>
          <w:rFonts w:ascii="Calibri" w:eastAsia="Calibri" w:hAnsi="Calibri" w:cs="Calibri"/>
          <w:sz w:val="20"/>
          <w:szCs w:val="20"/>
          <w:lang w:eastAsia="en-US"/>
        </w:rPr>
        <w:t xml:space="preserve">Prioritatea 5 contribuie în mod indirect la realizarea obiectivelor asumate prin Planului Național Integrat în domeniul Energiei și Schimbărilor Climatice prin intermediul intervențiilor care vizează reabilitarea energetică a infrastructurii educaționale, deși acest aspect nu constituie obiectivul principal al acțiunilor. </w:t>
      </w:r>
    </w:p>
    <w:p w14:paraId="599B1975" w14:textId="77777777" w:rsidR="008B486F" w:rsidRPr="00192ED5" w:rsidRDefault="008B486F" w:rsidP="008B486F">
      <w:pPr>
        <w:suppressAutoHyphens/>
        <w:spacing w:before="120" w:after="120" w:line="240" w:lineRule="auto"/>
        <w:jc w:val="both"/>
        <w:rPr>
          <w:rFonts w:ascii="Calibri" w:eastAsia="Calibri" w:hAnsi="Calibri" w:cs="Calibri"/>
          <w:sz w:val="20"/>
          <w:szCs w:val="20"/>
          <w:lang w:eastAsia="en-US"/>
        </w:rPr>
      </w:pPr>
      <w:r w:rsidRPr="00192ED5">
        <w:rPr>
          <w:rFonts w:ascii="Calibri" w:eastAsia="Calibri" w:hAnsi="Calibri" w:cs="Calibri"/>
          <w:sz w:val="20"/>
          <w:szCs w:val="20"/>
          <w:lang w:eastAsia="en-US"/>
        </w:rPr>
        <w:t xml:space="preserve">În ceea ce privește contribuția intervențiilor din cadrul P5 la Pilonul European al Drepturilor Sociale, programul susține, prin obiectivele specifice OS4.2 și OS4.6, îmbunătățirea accesului la servicii educaționale de calitate și învățare pe tot parcursul vieții, prin infrastructură modernă și accesibilă, inclusiv pentru educația la distanță. </w:t>
      </w:r>
    </w:p>
    <w:p w14:paraId="2E2C7579" w14:textId="565712D7" w:rsidR="008B486F" w:rsidRPr="00192ED5" w:rsidRDefault="00647EA4" w:rsidP="008B486F">
      <w:pPr>
        <w:suppressAutoHyphens/>
        <w:spacing w:before="120" w:after="120" w:line="240" w:lineRule="auto"/>
        <w:jc w:val="both"/>
        <w:rPr>
          <w:rFonts w:ascii="Calibri" w:eastAsia="Calibri" w:hAnsi="Calibri" w:cs="Calibri"/>
          <w:sz w:val="20"/>
          <w:szCs w:val="20"/>
          <w:lang w:eastAsia="en-US"/>
        </w:rPr>
      </w:pPr>
      <w:r>
        <w:rPr>
          <w:rFonts w:ascii="Calibri" w:eastAsia="Calibri" w:hAnsi="Calibri" w:cs="Calibri"/>
          <w:sz w:val="20"/>
          <w:szCs w:val="20"/>
          <w:lang w:eastAsia="en-US"/>
        </w:rPr>
        <w:t xml:space="preserve">Privind </w:t>
      </w:r>
      <w:r w:rsidR="008B486F" w:rsidRPr="00192ED5">
        <w:rPr>
          <w:rFonts w:ascii="Calibri" w:eastAsia="Calibri" w:hAnsi="Calibri" w:cs="Calibri"/>
          <w:sz w:val="20"/>
          <w:szCs w:val="20"/>
          <w:lang w:eastAsia="en-US"/>
        </w:rPr>
        <w:t>progresul implementării, analiza arată că, deși există un interes crescut pentru finanțare, ritmul implementării proiectelor este lent. Până la sfârșitul anului 2024, doar 36% din alocarea totală pentru Prioritatea 5 fusese contractată. Principalele bariere identificate includ întârzieri în procesul de contractare și avizare, dificultăți administrative în obținerea autorizațiilor, lipsa resurselor financiare pentru acoperirea costurilor neeligibile și fluctuațiile economice care au dus la creșterea prețurilor materialelor de construcție. De asemenea, capacitatea administrativă a beneficiarilor este redusă, ceea ce afectează capacitatea acestora de a gestiona proiectele într-un mod eficient.</w:t>
      </w:r>
    </w:p>
    <w:p w14:paraId="7AA35FDF" w14:textId="77777777" w:rsidR="008B486F" w:rsidRPr="00192ED5" w:rsidRDefault="008B486F" w:rsidP="008B486F">
      <w:pPr>
        <w:suppressAutoHyphens/>
        <w:spacing w:before="120" w:after="120" w:line="240" w:lineRule="auto"/>
        <w:jc w:val="both"/>
        <w:rPr>
          <w:rFonts w:ascii="Calibri" w:eastAsia="Calibri" w:hAnsi="Calibri" w:cs="Calibri"/>
          <w:sz w:val="20"/>
          <w:szCs w:val="20"/>
          <w:lang w:eastAsia="en-US"/>
        </w:rPr>
      </w:pPr>
      <w:r>
        <w:rPr>
          <w:rFonts w:ascii="Calibri" w:eastAsia="Calibri" w:hAnsi="Calibri" w:cs="Calibri"/>
          <w:sz w:val="20"/>
          <w:szCs w:val="20"/>
          <w:lang w:eastAsia="en-US"/>
        </w:rPr>
        <w:t>M</w:t>
      </w:r>
      <w:r w:rsidRPr="00192ED5">
        <w:rPr>
          <w:rFonts w:ascii="Calibri" w:eastAsia="Calibri" w:hAnsi="Calibri" w:cs="Calibri"/>
          <w:sz w:val="20"/>
          <w:szCs w:val="20"/>
          <w:lang w:eastAsia="en-US"/>
        </w:rPr>
        <w:t xml:space="preserve">ecanismul ITI Delta Dunării întâmpină dificultăți suplimentare în atragerea și implementarea proiectelor. Deși există cerere de finanțare, întârzierile în lansarea apelurilor și problemele administrative afectează progresul proiectelor din acest teritoriu. </w:t>
      </w:r>
    </w:p>
    <w:p w14:paraId="68A1E1B3" w14:textId="1A480D57" w:rsidR="008B486F" w:rsidRPr="00192ED5" w:rsidRDefault="008B486F" w:rsidP="008B486F">
      <w:pPr>
        <w:suppressAutoHyphens/>
        <w:spacing w:before="120" w:after="120" w:line="240" w:lineRule="auto"/>
        <w:jc w:val="both"/>
        <w:rPr>
          <w:rFonts w:ascii="Calibri" w:eastAsia="Calibri" w:hAnsi="Calibri" w:cs="Calibri"/>
          <w:sz w:val="20"/>
          <w:szCs w:val="20"/>
          <w:lang w:eastAsia="en-US"/>
        </w:rPr>
      </w:pPr>
      <w:r w:rsidRPr="00192ED5">
        <w:rPr>
          <w:rFonts w:ascii="Calibri" w:eastAsia="Calibri" w:hAnsi="Calibri" w:cs="Calibri"/>
          <w:sz w:val="20"/>
          <w:szCs w:val="20"/>
          <w:lang w:eastAsia="en-US"/>
        </w:rPr>
        <w:t xml:space="preserve"> </w:t>
      </w:r>
      <w:r w:rsidR="00647EA4">
        <w:rPr>
          <w:rFonts w:ascii="Calibri" w:eastAsia="Calibri" w:hAnsi="Calibri" w:cs="Calibri"/>
          <w:sz w:val="20"/>
          <w:szCs w:val="20"/>
          <w:lang w:eastAsia="en-US"/>
        </w:rPr>
        <w:t xml:space="preserve">La nivel de </w:t>
      </w:r>
      <w:r>
        <w:rPr>
          <w:rFonts w:ascii="Calibri" w:eastAsia="Calibri" w:hAnsi="Calibri" w:cs="Calibri"/>
          <w:sz w:val="20"/>
          <w:szCs w:val="20"/>
          <w:lang w:eastAsia="en-US"/>
        </w:rPr>
        <w:t>progres, o</w:t>
      </w:r>
      <w:r w:rsidRPr="00192ED5">
        <w:rPr>
          <w:rFonts w:ascii="Calibri" w:eastAsia="Calibri" w:hAnsi="Calibri" w:cs="Calibri"/>
          <w:sz w:val="20"/>
          <w:szCs w:val="20"/>
          <w:lang w:eastAsia="en-US"/>
        </w:rPr>
        <w:t>perațiunile selectate indică un grad de asumare față de ținta finală de peste 74% pentru capacitatea sălilor de clasă noi sau modernizate dedicate îngrijirii copiilor și de 83% pentru capacitatea sălilor de clasă din structurile educaționale noi sau modernizate</w:t>
      </w:r>
      <w:r>
        <w:rPr>
          <w:rFonts w:ascii="Calibri" w:eastAsia="Calibri" w:hAnsi="Calibri" w:cs="Calibri"/>
          <w:sz w:val="20"/>
          <w:szCs w:val="20"/>
          <w:lang w:eastAsia="en-US"/>
        </w:rPr>
        <w:t>. P</w:t>
      </w:r>
      <w:r w:rsidRPr="00192ED5">
        <w:rPr>
          <w:rFonts w:ascii="Calibri" w:eastAsia="Calibri" w:hAnsi="Calibri" w:cs="Calibri"/>
          <w:sz w:val="20"/>
          <w:szCs w:val="20"/>
          <w:lang w:eastAsia="en-US"/>
        </w:rPr>
        <w:t>entru OS4.6 nu s-au înregistrat progrese având în vedere faptul că apelurile aferente acestui OS nu au fost încă lansate.</w:t>
      </w:r>
    </w:p>
    <w:p w14:paraId="255C7B40" w14:textId="16EFC6F5" w:rsidR="008B486F" w:rsidRPr="00192ED5" w:rsidRDefault="008B486F" w:rsidP="008B486F">
      <w:pPr>
        <w:suppressAutoHyphens/>
        <w:spacing w:before="120" w:after="120" w:line="240" w:lineRule="auto"/>
        <w:jc w:val="both"/>
        <w:rPr>
          <w:rFonts w:ascii="Calibri" w:eastAsia="Calibri" w:hAnsi="Calibri" w:cs="Calibri"/>
          <w:sz w:val="20"/>
          <w:szCs w:val="20"/>
          <w:lang w:eastAsia="en-US"/>
        </w:rPr>
      </w:pPr>
      <w:r w:rsidRPr="00192ED5">
        <w:rPr>
          <w:rFonts w:ascii="Calibri" w:eastAsia="Calibri" w:hAnsi="Calibri" w:cs="Calibri"/>
          <w:sz w:val="20"/>
          <w:szCs w:val="20"/>
          <w:lang w:eastAsia="en-US"/>
        </w:rPr>
        <w:t>Prioritatea 5 este bine fundamentată și răspunde unor nevoi reale din regiunea Sud-Est, iar intervențiile r</w:t>
      </w:r>
      <w:r w:rsidR="001959AA">
        <w:rPr>
          <w:rFonts w:ascii="Calibri" w:eastAsia="Calibri" w:hAnsi="Calibri" w:cs="Calibri"/>
          <w:sz w:val="20"/>
          <w:szCs w:val="20"/>
          <w:lang w:eastAsia="en-US"/>
        </w:rPr>
        <w:t>ă</w:t>
      </w:r>
      <w:r w:rsidRPr="00192ED5">
        <w:rPr>
          <w:rFonts w:ascii="Calibri" w:eastAsia="Calibri" w:hAnsi="Calibri" w:cs="Calibri"/>
          <w:sz w:val="20"/>
          <w:szCs w:val="20"/>
          <w:lang w:eastAsia="en-US"/>
        </w:rPr>
        <w:t xml:space="preserve">mân în continuare  relevante față de nevoile </w:t>
      </w:r>
      <w:proofErr w:type="spellStart"/>
      <w:r w:rsidRPr="00192ED5">
        <w:rPr>
          <w:rFonts w:ascii="Calibri" w:eastAsia="Calibri" w:hAnsi="Calibri" w:cs="Calibri"/>
          <w:sz w:val="20"/>
          <w:szCs w:val="20"/>
          <w:lang w:eastAsia="en-US"/>
        </w:rPr>
        <w:t>socio</w:t>
      </w:r>
      <w:proofErr w:type="spellEnd"/>
      <w:r w:rsidRPr="00192ED5">
        <w:rPr>
          <w:rFonts w:ascii="Calibri" w:eastAsia="Calibri" w:hAnsi="Calibri" w:cs="Calibri"/>
          <w:sz w:val="20"/>
          <w:szCs w:val="20"/>
          <w:lang w:eastAsia="en-US"/>
        </w:rPr>
        <w:t>-economice, fiind coerente cu direcțiile europene de dezvoltare. Cu toate acestea, implementarea sa este afectată de probleme administrative, financiare și de capacitate. Ritmul lent al contractării și execuției lucrărilor evidențiază necesitatea intensificării eforturilor pentru a asigura atingerea obiectivelor asumate până la finalul perioadei de programare.</w:t>
      </w:r>
    </w:p>
    <w:p w14:paraId="67F11D51" w14:textId="77777777" w:rsidR="008B486F" w:rsidRPr="0026277F" w:rsidRDefault="008B486F" w:rsidP="008B486F">
      <w:pPr>
        <w:suppressAutoHyphens/>
        <w:spacing w:before="120" w:after="120" w:line="240" w:lineRule="auto"/>
        <w:jc w:val="both"/>
        <w:rPr>
          <w:rFonts w:ascii="Calibri" w:hAnsi="Calibri" w:cs="Calibri"/>
          <w:sz w:val="20"/>
          <w:szCs w:val="20"/>
        </w:rPr>
      </w:pPr>
      <w:r w:rsidRPr="00192ED5">
        <w:rPr>
          <w:rFonts w:ascii="Calibri" w:eastAsia="Calibri" w:hAnsi="Calibri" w:cs="Calibri"/>
          <w:sz w:val="20"/>
          <w:szCs w:val="20"/>
        </w:rPr>
        <w:t>Pentru îmbunătățirea implementării programului, se recomandă:</w:t>
      </w:r>
    </w:p>
    <w:p w14:paraId="27FE88D0" w14:textId="77777777" w:rsidR="008B486F" w:rsidRPr="00192ED5" w:rsidRDefault="008B486F" w:rsidP="008B486F">
      <w:pPr>
        <w:pStyle w:val="ListParagraph"/>
        <w:numPr>
          <w:ilvl w:val="1"/>
          <w:numId w:val="17"/>
        </w:numPr>
        <w:suppressAutoHyphens/>
        <w:spacing w:before="120" w:after="120" w:line="240" w:lineRule="auto"/>
        <w:jc w:val="both"/>
        <w:rPr>
          <w:rFonts w:ascii="Calibri" w:hAnsi="Calibri" w:cs="Calibri"/>
          <w:sz w:val="20"/>
          <w:szCs w:val="20"/>
        </w:rPr>
      </w:pPr>
      <w:r w:rsidRPr="00192ED5">
        <w:rPr>
          <w:rFonts w:ascii="Calibri" w:hAnsi="Calibri" w:cs="Calibri"/>
          <w:sz w:val="20"/>
          <w:szCs w:val="20"/>
        </w:rPr>
        <w:t>Accelerarea lansării apelurilor de proiecte, precum și a proceselor de evaluare, selecție și contractare, cu respectarea calendarului prevăzut pentru anul 2025.</w:t>
      </w:r>
    </w:p>
    <w:p w14:paraId="6AD36BFA" w14:textId="77777777" w:rsidR="008B486F" w:rsidRPr="00192ED5" w:rsidRDefault="008B486F" w:rsidP="008B486F">
      <w:pPr>
        <w:pStyle w:val="ListParagraph"/>
        <w:numPr>
          <w:ilvl w:val="1"/>
          <w:numId w:val="17"/>
        </w:numPr>
        <w:suppressAutoHyphens/>
        <w:spacing w:before="120" w:after="120" w:line="240" w:lineRule="auto"/>
        <w:jc w:val="both"/>
        <w:rPr>
          <w:rFonts w:ascii="Calibri" w:hAnsi="Calibri" w:cs="Calibri"/>
          <w:sz w:val="20"/>
          <w:szCs w:val="20"/>
        </w:rPr>
      </w:pPr>
      <w:r w:rsidRPr="00192ED5">
        <w:rPr>
          <w:rFonts w:ascii="Calibri" w:hAnsi="Calibri" w:cs="Calibri"/>
          <w:sz w:val="20"/>
          <w:szCs w:val="20"/>
        </w:rPr>
        <w:t>Consolidarea capacității administrative a solicitanților și beneficiarilor, în special din orașele mici, pentru pregătirea și implementarea eficientă a proiectelor.</w:t>
      </w:r>
    </w:p>
    <w:p w14:paraId="4BE23C8C" w14:textId="77777777" w:rsidR="008B486F" w:rsidRPr="00192ED5" w:rsidRDefault="008B486F" w:rsidP="008B486F">
      <w:pPr>
        <w:pStyle w:val="ListParagraph"/>
        <w:numPr>
          <w:ilvl w:val="1"/>
          <w:numId w:val="17"/>
        </w:numPr>
        <w:suppressAutoHyphens/>
        <w:spacing w:before="120" w:after="120" w:line="240" w:lineRule="auto"/>
        <w:jc w:val="both"/>
        <w:rPr>
          <w:rFonts w:ascii="Calibri" w:hAnsi="Calibri" w:cs="Calibri"/>
          <w:sz w:val="20"/>
          <w:szCs w:val="20"/>
        </w:rPr>
      </w:pPr>
      <w:r w:rsidRPr="00192ED5">
        <w:rPr>
          <w:rFonts w:ascii="Calibri" w:hAnsi="Calibri" w:cs="Calibri"/>
          <w:sz w:val="20"/>
          <w:szCs w:val="20"/>
        </w:rPr>
        <w:lastRenderedPageBreak/>
        <w:t>Susținerea măsurilor pentru educația incluzivă, în conformitate cu recomandările europene, prin continuarea investițiilor în infrastructura educațională pentru grupuri defavorizate și prin aplicarea efectivă a prevederilor privind finanțarea încrucișată, inclusiv prin informarea activă a potențialilor beneficiari.</w:t>
      </w:r>
    </w:p>
    <w:p w14:paraId="4139A1E6" w14:textId="77777777" w:rsidR="008B486F" w:rsidRPr="00192ED5" w:rsidRDefault="008B486F" w:rsidP="008B486F">
      <w:pPr>
        <w:pStyle w:val="ListParagraph"/>
        <w:numPr>
          <w:ilvl w:val="1"/>
          <w:numId w:val="17"/>
        </w:numPr>
        <w:suppressAutoHyphens/>
        <w:spacing w:before="120" w:after="120" w:line="240" w:lineRule="auto"/>
        <w:jc w:val="both"/>
        <w:rPr>
          <w:rFonts w:ascii="Calibri" w:hAnsi="Calibri" w:cs="Calibri"/>
          <w:sz w:val="20"/>
          <w:szCs w:val="20"/>
        </w:rPr>
      </w:pPr>
      <w:r w:rsidRPr="00192ED5">
        <w:rPr>
          <w:rFonts w:ascii="Calibri" w:hAnsi="Calibri" w:cs="Calibri"/>
          <w:sz w:val="20"/>
          <w:szCs w:val="20"/>
        </w:rPr>
        <w:t>Orientarea sprijinului către aspecte esențiale ale implementării, care asigură calitatea rezultatelor și sustenabilitatea intervențiilor, inclusiv operaționalizarea infrastructurii, corelarea cu alte surse de finanțare și adresarea nevoilor grupurilor vulnerabile, cu accent pe UAT-urile din mediul urban mic.</w:t>
      </w:r>
    </w:p>
    <w:p w14:paraId="6548F9E6" w14:textId="77777777" w:rsidR="00485CC5" w:rsidRDefault="00485CC5"/>
    <w:sectPr w:rsidR="00485CC5">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26506" w14:textId="77777777" w:rsidR="00D64875" w:rsidRDefault="00D64875" w:rsidP="00D64875">
      <w:pPr>
        <w:spacing w:after="0" w:line="240" w:lineRule="auto"/>
      </w:pPr>
      <w:r>
        <w:separator/>
      </w:r>
    </w:p>
  </w:endnote>
  <w:endnote w:type="continuationSeparator" w:id="0">
    <w:p w14:paraId="5D63B0DB" w14:textId="77777777" w:rsidR="00D64875" w:rsidRDefault="00D64875" w:rsidP="00D64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4BD9D" w14:textId="77777777" w:rsidR="002725CB" w:rsidRDefault="002725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58D6B" w14:textId="14D6113F" w:rsidR="00D64875" w:rsidRDefault="009A4999">
    <w:pPr>
      <w:pStyle w:val="Footer"/>
    </w:pPr>
    <w:r w:rsidRPr="003A668F">
      <w:rPr>
        <w:rFonts w:ascii="Calibri" w:hAnsi="Calibri" w:cs="Calibri"/>
        <w:b/>
        <w:bCs/>
        <w:noProof/>
        <w:color w:val="213F99"/>
        <w:sz w:val="20"/>
        <w:szCs w:val="20"/>
      </w:rPr>
      <w:drawing>
        <wp:anchor distT="0" distB="0" distL="114300" distR="114300" simplePos="0" relativeHeight="251661312" behindDoc="0" locked="0" layoutInCell="1" allowOverlap="1" wp14:anchorId="2D37CB68" wp14:editId="73604D2A">
          <wp:simplePos x="0" y="0"/>
          <wp:positionH relativeFrom="page">
            <wp:align>right</wp:align>
          </wp:positionH>
          <wp:positionV relativeFrom="paragraph">
            <wp:posOffset>-180975</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r w:rsidRPr="009A4999">
      <w:rPr>
        <w:noProof/>
      </w:rPr>
      <w:drawing>
        <wp:inline distT="0" distB="0" distL="0" distR="0" wp14:anchorId="04AEDC80" wp14:editId="3A9BA0CD">
          <wp:extent cx="5943600" cy="281940"/>
          <wp:effectExtent l="0" t="0" r="0" b="0"/>
          <wp:docPr id="1471732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4FC36" w14:textId="77777777" w:rsidR="002725CB" w:rsidRDefault="00272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9CAC9" w14:textId="77777777" w:rsidR="00D64875" w:rsidRDefault="00D64875" w:rsidP="00D64875">
      <w:pPr>
        <w:spacing w:after="0" w:line="240" w:lineRule="auto"/>
      </w:pPr>
      <w:r>
        <w:separator/>
      </w:r>
    </w:p>
  </w:footnote>
  <w:footnote w:type="continuationSeparator" w:id="0">
    <w:p w14:paraId="7B792E78" w14:textId="77777777" w:rsidR="00D64875" w:rsidRDefault="00D64875" w:rsidP="00D648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7E0" w14:textId="77777777" w:rsidR="002725CB" w:rsidRDefault="002725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BB2C5" w14:textId="77777777" w:rsidR="002725CB" w:rsidRDefault="002725CB" w:rsidP="002725CB">
    <w:pPr>
      <w:pStyle w:val="Header"/>
      <w:tabs>
        <w:tab w:val="left" w:pos="4002"/>
        <w:tab w:val="left" w:pos="4601"/>
      </w:tabs>
    </w:pPr>
    <w:r w:rsidRPr="00024668">
      <w:rPr>
        <w:noProof/>
      </w:rPr>
      <w:drawing>
        <wp:anchor distT="0" distB="0" distL="114300" distR="114300" simplePos="0" relativeHeight="251663360" behindDoc="1" locked="0" layoutInCell="1" allowOverlap="1" wp14:anchorId="5725EC08" wp14:editId="64DCDF26">
          <wp:simplePos x="0" y="0"/>
          <wp:positionH relativeFrom="column">
            <wp:posOffset>-447675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rsidRPr="00024668">
      <w:rPr>
        <w:rFonts w:eastAsia="MS Mincho" w:cs="Arial"/>
        <w:b/>
        <w:noProof/>
        <w:color w:val="232323"/>
      </w:rPr>
      <w:drawing>
        <wp:anchor distT="0" distB="0" distL="0" distR="0" simplePos="0" relativeHeight="251664384" behindDoc="1" locked="0" layoutInCell="1" allowOverlap="1" wp14:anchorId="08699265" wp14:editId="5521DB25">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2"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5408" behindDoc="1" locked="0" layoutInCell="1" allowOverlap="1" wp14:anchorId="0EE10BF6" wp14:editId="6A9496F5">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tab/>
    </w:r>
    <w:r>
      <w:tab/>
    </w:r>
  </w:p>
  <w:p w14:paraId="54237A4A" w14:textId="22EA5334" w:rsidR="00D64875" w:rsidRDefault="00D648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DBBE5" w14:textId="77777777" w:rsidR="002725CB" w:rsidRDefault="002725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A073E"/>
    <w:multiLevelType w:val="multilevel"/>
    <w:tmpl w:val="9236A6DE"/>
    <w:lvl w:ilvl="0">
      <w:start w:val="1"/>
      <w:numFmt w:val="decimal"/>
      <w:lvlText w:val="%1."/>
      <w:lvlJc w:val="left"/>
      <w:rPr>
        <w:rFonts w:ascii="Calibri" w:hAnsi="Calibri" w:cs="Calibri" w:hint="default"/>
        <w:b/>
        <w:bCs/>
        <w:i w:val="0"/>
        <w:iCs w:val="0"/>
        <w:caps w:val="0"/>
        <w:smallCaps w:val="0"/>
        <w:strike w:val="0"/>
        <w:dstrike w:val="0"/>
        <w:noProof w:val="0"/>
        <w:vanish w:val="0"/>
        <w:color w:val="156082" w:themeColor="accent1"/>
        <w:spacing w:val="0"/>
        <w:kern w:val="0"/>
        <w:position w:val="0"/>
        <w:sz w:val="20"/>
        <w:szCs w:val="20"/>
        <w:u w:val="none"/>
        <w:effect w:val="none"/>
        <w:vertAlign w:val="baseline"/>
        <w:em w:val="none"/>
        <w:specVanish w:val="0"/>
      </w:rPr>
    </w:lvl>
    <w:lvl w:ilvl="1">
      <w:start w:val="1"/>
      <w:numFmt w:val="bullet"/>
      <w:lvlText w:val="o"/>
      <w:lvlJc w:val="left"/>
      <w:pPr>
        <w:ind w:left="1077" w:hanging="360"/>
      </w:pPr>
      <w:rPr>
        <w:rFonts w:ascii="Courier New" w:hAnsi="Courier New" w:hint="default"/>
        <w:b w:val="0"/>
        <w:color w:val="00B050"/>
        <w:sz w:val="20"/>
        <w:szCs w:val="20"/>
      </w:rPr>
    </w:lvl>
    <w:lvl w:ilvl="2">
      <w:start w:val="1"/>
      <w:numFmt w:val="decimal"/>
      <w:lvlText w:val="%1.%2.%3."/>
      <w:lvlJc w:val="left"/>
      <w:pPr>
        <w:ind w:left="2154" w:hanging="720"/>
      </w:pPr>
    </w:lvl>
    <w:lvl w:ilvl="3">
      <w:start w:val="1"/>
      <w:numFmt w:val="decimal"/>
      <w:lvlText w:val="%1.%2.%3.%4."/>
      <w:lvlJc w:val="left"/>
      <w:pPr>
        <w:ind w:left="2871" w:hanging="720"/>
      </w:pPr>
    </w:lvl>
    <w:lvl w:ilvl="4">
      <w:start w:val="1"/>
      <w:numFmt w:val="decimal"/>
      <w:lvlText w:val="%1.%2.%3.%4.%5."/>
      <w:lvlJc w:val="left"/>
      <w:pPr>
        <w:ind w:left="3948" w:hanging="1080"/>
      </w:pPr>
    </w:lvl>
    <w:lvl w:ilvl="5">
      <w:start w:val="1"/>
      <w:numFmt w:val="decimal"/>
      <w:lvlText w:val="%1.%2.%3.%4.%5.%6."/>
      <w:lvlJc w:val="left"/>
      <w:pPr>
        <w:ind w:left="4665" w:hanging="1080"/>
      </w:pPr>
    </w:lvl>
    <w:lvl w:ilvl="6">
      <w:start w:val="1"/>
      <w:numFmt w:val="decimal"/>
      <w:lvlText w:val="%1.%2.%3.%4.%5.%6.%7."/>
      <w:lvlJc w:val="left"/>
      <w:pPr>
        <w:ind w:left="5742" w:hanging="1440"/>
      </w:pPr>
    </w:lvl>
    <w:lvl w:ilvl="7">
      <w:start w:val="1"/>
      <w:numFmt w:val="decimal"/>
      <w:lvlText w:val="%1.%2.%3.%4.%5.%6.%7.%8."/>
      <w:lvlJc w:val="left"/>
      <w:pPr>
        <w:ind w:left="6459" w:hanging="1440"/>
      </w:pPr>
    </w:lvl>
    <w:lvl w:ilvl="8">
      <w:start w:val="1"/>
      <w:numFmt w:val="decimal"/>
      <w:lvlText w:val="%1.%2.%3.%4.%5.%6.%7.%8.%9."/>
      <w:lvlJc w:val="left"/>
      <w:pPr>
        <w:ind w:left="7536" w:hanging="1800"/>
      </w:pPr>
    </w:lvl>
  </w:abstractNum>
  <w:abstractNum w:abstractNumId="7"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10"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2"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3"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5"/>
  </w:num>
  <w:num w:numId="2" w16cid:durableId="784737593">
    <w:abstractNumId w:val="10"/>
  </w:num>
  <w:num w:numId="3" w16cid:durableId="829294425">
    <w:abstractNumId w:val="0"/>
  </w:num>
  <w:num w:numId="4" w16cid:durableId="236013215">
    <w:abstractNumId w:val="8"/>
  </w:num>
  <w:num w:numId="5" w16cid:durableId="1678995686">
    <w:abstractNumId w:val="11"/>
  </w:num>
  <w:num w:numId="6" w16cid:durableId="1140461577">
    <w:abstractNumId w:val="9"/>
  </w:num>
  <w:num w:numId="7" w16cid:durableId="2012751204">
    <w:abstractNumId w:val="12"/>
  </w:num>
  <w:num w:numId="8" w16cid:durableId="684481729">
    <w:abstractNumId w:val="2"/>
  </w:num>
  <w:num w:numId="9" w16cid:durableId="2137019864">
    <w:abstractNumId w:val="13"/>
  </w:num>
  <w:num w:numId="10" w16cid:durableId="1371029660">
    <w:abstractNumId w:val="4"/>
  </w:num>
  <w:num w:numId="11" w16cid:durableId="1566911228">
    <w:abstractNumId w:val="13"/>
  </w:num>
  <w:num w:numId="12" w16cid:durableId="1355692827">
    <w:abstractNumId w:val="1"/>
  </w:num>
  <w:num w:numId="13" w16cid:durableId="1659654662">
    <w:abstractNumId w:val="0"/>
  </w:num>
  <w:num w:numId="14" w16cid:durableId="294481869">
    <w:abstractNumId w:val="7"/>
  </w:num>
  <w:num w:numId="15" w16cid:durableId="586614242">
    <w:abstractNumId w:val="7"/>
  </w:num>
  <w:num w:numId="16" w16cid:durableId="791098444">
    <w:abstractNumId w:val="7"/>
  </w:num>
  <w:num w:numId="17" w16cid:durableId="1194801720">
    <w:abstractNumId w:val="6"/>
  </w:num>
  <w:num w:numId="18" w16cid:durableId="209663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86F"/>
    <w:rsid w:val="000E693C"/>
    <w:rsid w:val="001959AA"/>
    <w:rsid w:val="00231768"/>
    <w:rsid w:val="002725CB"/>
    <w:rsid w:val="0033672C"/>
    <w:rsid w:val="00485CC5"/>
    <w:rsid w:val="00647EA4"/>
    <w:rsid w:val="006819A8"/>
    <w:rsid w:val="00786F4E"/>
    <w:rsid w:val="007F7A3E"/>
    <w:rsid w:val="008434B8"/>
    <w:rsid w:val="00844132"/>
    <w:rsid w:val="008B486F"/>
    <w:rsid w:val="00920F10"/>
    <w:rsid w:val="009A4999"/>
    <w:rsid w:val="00A51523"/>
    <w:rsid w:val="00A65AC8"/>
    <w:rsid w:val="00B45522"/>
    <w:rsid w:val="00CF49AD"/>
    <w:rsid w:val="00D64875"/>
    <w:rsid w:val="00F83087"/>
    <w:rsid w:val="00FC7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A57A66"/>
  <w15:chartTrackingRefBased/>
  <w15:docId w15:val="{2248BC77-FE59-4688-AB3E-70A04BDBB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86F"/>
    <w:pPr>
      <w:spacing w:line="279" w:lineRule="auto"/>
    </w:pPr>
    <w:rPr>
      <w:rFonts w:eastAsiaTheme="minorEastAsia"/>
      <w:kern w:val="0"/>
      <w:lang w:val="ro-RO" w:eastAsia="ja-JP"/>
      <w14:ligatures w14:val="none"/>
    </w:rPr>
  </w:style>
  <w:style w:type="paragraph" w:styleId="Heading1">
    <w:name w:val="heading 1"/>
    <w:basedOn w:val="Normal"/>
    <w:next w:val="Normal"/>
    <w:link w:val="Heading1Char"/>
    <w:uiPriority w:val="9"/>
    <w:qFormat/>
    <w:rsid w:val="008B48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sz w:val="22"/>
      <w:szCs w:val="28"/>
      <w:lang w:eastAsia="nl-NL"/>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sz w:val="22"/>
      <w:szCs w:val="26"/>
      <w:lang w:eastAsia="nl-NL"/>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sz w:val="18"/>
      <w:szCs w:val="22"/>
      <w:lang w:eastAsia="nl-NL"/>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sz w:val="18"/>
      <w:lang w:eastAsia="nl-NL"/>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sz w:val="18"/>
      <w:lang w:eastAsia="nl-NL"/>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sz w:val="18"/>
      <w:szCs w:val="22"/>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sz w:val="28"/>
      <w:szCs w:val="19"/>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B45522"/>
    <w:pPr>
      <w:spacing w:after="0" w:line="276" w:lineRule="auto"/>
      <w:ind w:left="720"/>
      <w:contextualSpacing/>
    </w:pPr>
    <w:rPr>
      <w:rFonts w:ascii="Arial" w:hAnsi="Arial"/>
      <w:sz w:val="18"/>
      <w:szCs w:val="22"/>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sz w:val="18"/>
      <w:szCs w:val="22"/>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sz w:val="18"/>
      <w:szCs w:val="22"/>
      <w:lang w:val="en-GB"/>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sz w:val="18"/>
      <w:szCs w:val="18"/>
      <w:lang w:eastAsia="nl-NL"/>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sz w:val="22"/>
      <w:szCs w:val="28"/>
      <w:lang w:eastAsia="nl-NL"/>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sz w:val="22"/>
      <w:szCs w:val="26"/>
      <w:lang w:val="fr-FR" w:eastAsia="nl-NL" w:bidi="ne-NP"/>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sz w:val="18"/>
      <w:lang w:eastAsia="nl-NL"/>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sz w:val="18"/>
      <w:lang w:val="en-GB" w:eastAsia="nl-NL"/>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sz w:val="16"/>
      <w:lang w:val="en-GB" w:eastAsia="nl-NL"/>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sz w:val="18"/>
      <w:lang w:val="en-GB" w:eastAsia="nl-NL"/>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sz w:val="16"/>
      <w:lang w:val="en-GB" w:eastAsia="nl-NL"/>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sz w:val="18"/>
      <w:lang w:val="en-GB" w:eastAsia="nl-NL"/>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sz w:val="18"/>
      <w:lang w:val="en-GB" w:eastAsia="nl-NL"/>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sz w:val="16"/>
      <w:lang w:val="en-GB" w:eastAsia="nl-NL"/>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sz w:val="36"/>
      <w:lang w:eastAsia="nl-NL"/>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sz w:val="22"/>
      <w:lang w:eastAsia="nl-NL"/>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sz w:val="18"/>
      <w:lang w:eastAsia="nl-NL"/>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sz w:val="18"/>
      <w:lang w:eastAsia="nl-NL"/>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sz w:val="22"/>
      <w:lang w:eastAsia="nl-NL"/>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sz w:val="18"/>
      <w:lang w:eastAsia="nl-NL"/>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sz w:val="18"/>
      <w:lang w:eastAsia="nl-NL"/>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sz w:val="18"/>
      <w:lang w:eastAsia="nl-NL"/>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sz w:val="18"/>
      <w:lang w:eastAsia="nl-NL"/>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sz w:val="36"/>
      <w:lang w:eastAsia="nl-NL"/>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sz w:val="14"/>
      <w:szCs w:val="20"/>
      <w:lang w:eastAsia="nl-NL"/>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sz w:val="22"/>
      <w:szCs w:val="22"/>
      <w:lang w:eastAsia="ro-RO"/>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lang w:eastAsia="ro-RO"/>
    </w:rPr>
  </w:style>
  <w:style w:type="character" w:customStyle="1" w:styleId="Heading1Char">
    <w:name w:val="Heading 1 Char"/>
    <w:basedOn w:val="DefaultParagraphFont"/>
    <w:link w:val="Heading1"/>
    <w:uiPriority w:val="9"/>
    <w:rsid w:val="008B486F"/>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8B48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48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48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48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486F"/>
    <w:pPr>
      <w:spacing w:before="160"/>
      <w:jc w:val="center"/>
    </w:pPr>
    <w:rPr>
      <w:i/>
      <w:iCs/>
      <w:color w:val="404040" w:themeColor="text1" w:themeTint="BF"/>
    </w:rPr>
  </w:style>
  <w:style w:type="character" w:customStyle="1" w:styleId="QuoteChar">
    <w:name w:val="Quote Char"/>
    <w:basedOn w:val="DefaultParagraphFont"/>
    <w:link w:val="Quote"/>
    <w:uiPriority w:val="29"/>
    <w:rsid w:val="008B486F"/>
    <w:rPr>
      <w:i/>
      <w:iCs/>
      <w:color w:val="404040" w:themeColor="text1" w:themeTint="BF"/>
    </w:rPr>
  </w:style>
  <w:style w:type="character" w:styleId="IntenseEmphasis">
    <w:name w:val="Intense Emphasis"/>
    <w:basedOn w:val="DefaultParagraphFont"/>
    <w:uiPriority w:val="21"/>
    <w:qFormat/>
    <w:rsid w:val="008B486F"/>
    <w:rPr>
      <w:i/>
      <w:iCs/>
      <w:color w:val="0F4761" w:themeColor="accent1" w:themeShade="BF"/>
    </w:rPr>
  </w:style>
  <w:style w:type="paragraph" w:styleId="IntenseQuote">
    <w:name w:val="Intense Quote"/>
    <w:basedOn w:val="Normal"/>
    <w:next w:val="Normal"/>
    <w:link w:val="IntenseQuoteChar"/>
    <w:uiPriority w:val="30"/>
    <w:qFormat/>
    <w:rsid w:val="008B48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486F"/>
    <w:rPr>
      <w:i/>
      <w:iCs/>
      <w:color w:val="0F4761" w:themeColor="accent1" w:themeShade="BF"/>
    </w:rPr>
  </w:style>
  <w:style w:type="character" w:styleId="IntenseReference">
    <w:name w:val="Intense Reference"/>
    <w:basedOn w:val="DefaultParagraphFont"/>
    <w:uiPriority w:val="32"/>
    <w:qFormat/>
    <w:rsid w:val="008B486F"/>
    <w:rPr>
      <w:b/>
      <w:bCs/>
      <w:smallCaps/>
      <w:color w:val="0F4761" w:themeColor="accent1" w:themeShade="BF"/>
      <w:spacing w:val="5"/>
    </w:rPr>
  </w:style>
  <w:style w:type="paragraph" w:styleId="Header">
    <w:name w:val="header"/>
    <w:basedOn w:val="Normal"/>
    <w:link w:val="HeaderChar"/>
    <w:uiPriority w:val="99"/>
    <w:unhideWhenUsed/>
    <w:rsid w:val="00D648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875"/>
    <w:rPr>
      <w:rFonts w:eastAsiaTheme="minorEastAsia"/>
      <w:kern w:val="0"/>
      <w:lang w:val="ro-RO" w:eastAsia="ja-JP"/>
      <w14:ligatures w14:val="none"/>
    </w:rPr>
  </w:style>
  <w:style w:type="paragraph" w:styleId="Footer">
    <w:name w:val="footer"/>
    <w:basedOn w:val="Normal"/>
    <w:link w:val="FooterChar"/>
    <w:uiPriority w:val="99"/>
    <w:unhideWhenUsed/>
    <w:rsid w:val="00D648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875"/>
    <w:rPr>
      <w:rFonts w:eastAsiaTheme="minorEastAsia"/>
      <w:kern w:val="0"/>
      <w:lang w:val="ro-RO" w:eastAsia="ja-JP"/>
      <w14:ligatures w14:val="none"/>
    </w:rPr>
  </w:style>
  <w:style w:type="paragraph" w:customStyle="1" w:styleId="Figureno">
    <w:name w:val="Figure no."/>
    <w:basedOn w:val="Normal"/>
    <w:qFormat/>
    <w:rsid w:val="002725CB"/>
    <w:pPr>
      <w:numPr>
        <w:numId w:val="18"/>
      </w:numPr>
      <w:tabs>
        <w:tab w:val="left" w:pos="975"/>
      </w:tabs>
      <w:spacing w:before="120" w:after="120" w:line="360" w:lineRule="auto"/>
      <w:jc w:val="both"/>
    </w:pPr>
    <w:rPr>
      <w:rFonts w:ascii="Georgia" w:eastAsia="Calibri" w:hAnsi="Georgia" w:cs="Times New Roman"/>
      <w:b/>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3B66B7-CC05-48E3-82E5-0AE63E644FB1}">
  <ds:schemaRefs>
    <ds:schemaRef ds:uri="http://schemas.microsoft.com/sharepoint/v3/contenttype/forms"/>
  </ds:schemaRefs>
</ds:datastoreItem>
</file>

<file path=customXml/itemProps2.xml><?xml version="1.0" encoding="utf-8"?>
<ds:datastoreItem xmlns:ds="http://schemas.openxmlformats.org/officeDocument/2006/customXml" ds:itemID="{3FA161DB-DD73-4F8D-BE4E-291E7E40ADBE}">
  <ds:schemaRefs>
    <ds:schemaRef ds:uri="http://purl.org/dc/elements/1.1/"/>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dcmitype/"/>
    <ds:schemaRef ds:uri="1f6e3964-c330-437f-9746-f4e74fd478e1"/>
    <ds:schemaRef ds:uri="http://purl.org/dc/terms/"/>
    <ds:schemaRef ds:uri="http://schemas.openxmlformats.org/package/2006/metadata/core-properties"/>
    <ds:schemaRef ds:uri="9ee2a0fe-1226-4a34-9e06-7c398078da57"/>
  </ds:schemaRefs>
</ds:datastoreItem>
</file>

<file path=customXml/itemProps3.xml><?xml version="1.0" encoding="utf-8"?>
<ds:datastoreItem xmlns:ds="http://schemas.openxmlformats.org/officeDocument/2006/customXml" ds:itemID="{7320BAC1-0FAF-4267-B142-B4084746E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737</Words>
  <Characters>4202</Characters>
  <Application>Microsoft Office Word</Application>
  <DocSecurity>0</DocSecurity>
  <Lines>35</Lines>
  <Paragraphs>9</Paragraphs>
  <ScaleCrop>false</ScaleCrop>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10</cp:revision>
  <dcterms:created xsi:type="dcterms:W3CDTF">2025-03-24T07:55:00Z</dcterms:created>
  <dcterms:modified xsi:type="dcterms:W3CDTF">2025-03-25T10:44:00Z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