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8F03FC" w14:textId="2A8A198A" w:rsidR="00CE0B89" w:rsidRPr="0096438C" w:rsidRDefault="00CE0B89" w:rsidP="0096438C">
      <w:pPr>
        <w:pStyle w:val="Heading2"/>
        <w:rPr>
          <w:rFonts w:ascii="Calibri" w:hAnsi="Calibri" w:cs="Calibri"/>
          <w:b/>
          <w:bCs/>
          <w:color w:val="213F99"/>
          <w:sz w:val="28"/>
          <w:szCs w:val="28"/>
          <w:lang w:val="ro-RO"/>
        </w:rPr>
      </w:pPr>
      <w:r w:rsidRPr="0096438C">
        <w:rPr>
          <w:rFonts w:ascii="Calibri" w:hAnsi="Calibri" w:cs="Calibri"/>
          <w:b/>
          <w:bCs/>
          <w:color w:val="213F99"/>
          <w:sz w:val="28"/>
          <w:szCs w:val="28"/>
          <w:lang w:val="ro-RO"/>
        </w:rPr>
        <w:t>Sinteză a R</w:t>
      </w:r>
      <w:r w:rsidR="008658D8">
        <w:rPr>
          <w:rFonts w:ascii="Calibri" w:hAnsi="Calibri" w:cs="Calibri"/>
          <w:b/>
          <w:bCs/>
          <w:color w:val="213F99"/>
          <w:sz w:val="28"/>
          <w:szCs w:val="28"/>
          <w:lang w:val="ro-RO"/>
        </w:rPr>
        <w:t>a</w:t>
      </w:r>
      <w:r w:rsidRPr="0096438C">
        <w:rPr>
          <w:rFonts w:ascii="Calibri" w:hAnsi="Calibri" w:cs="Calibri"/>
          <w:b/>
          <w:bCs/>
          <w:color w:val="213F99"/>
          <w:sz w:val="28"/>
          <w:szCs w:val="28"/>
          <w:lang w:val="ro-RO"/>
        </w:rPr>
        <w:t>portului Prioritatea 2</w:t>
      </w:r>
    </w:p>
    <w:p w14:paraId="0698A6FA" w14:textId="77777777" w:rsidR="00CE0B89" w:rsidRPr="00CE0B89" w:rsidRDefault="00CE0B89" w:rsidP="00CE0B89">
      <w:pPr>
        <w:spacing w:before="120" w:after="120" w:line="240" w:lineRule="auto"/>
        <w:jc w:val="both"/>
        <w:rPr>
          <w:rFonts w:ascii="Calibri" w:hAnsi="Calibri" w:cs="Calibri"/>
          <w:sz w:val="20"/>
          <w:szCs w:val="20"/>
          <w:lang w:val="ro-RO"/>
        </w:rPr>
      </w:pPr>
      <w:r w:rsidRPr="00CE0B89">
        <w:rPr>
          <w:rFonts w:ascii="Calibri" w:hAnsi="Calibri" w:cs="Calibri"/>
          <w:sz w:val="20"/>
          <w:szCs w:val="20"/>
          <w:lang w:val="ro-RO"/>
        </w:rPr>
        <w:t xml:space="preserve">Evaluarea ce face obiectul prezentului raport are ca scop furnizarea de informații pentru a susține Autoritatea de Management în realizarea evaluării intermediaire (mid-term review) conform art. 18 din Regulamentul Cadru 1060/2021 în vederea îmbunătățirii Programului Regional Sud-Est și a procesului de implementare a acestuia. </w:t>
      </w:r>
    </w:p>
    <w:p w14:paraId="294A82CA" w14:textId="77777777" w:rsidR="00CE0B89" w:rsidRPr="00CE0B89" w:rsidRDefault="00CE0B89" w:rsidP="00CE0B89">
      <w:pPr>
        <w:spacing w:before="120" w:after="120" w:line="240" w:lineRule="auto"/>
        <w:jc w:val="both"/>
        <w:rPr>
          <w:rFonts w:ascii="Calibri" w:hAnsi="Calibri" w:cs="Calibri"/>
          <w:sz w:val="20"/>
          <w:szCs w:val="20"/>
          <w:lang w:val="ro-RO"/>
        </w:rPr>
      </w:pPr>
      <w:r w:rsidRPr="00CE0B89">
        <w:rPr>
          <w:rFonts w:ascii="Calibri" w:hAnsi="Calibri" w:cs="Calibri"/>
          <w:sz w:val="20"/>
          <w:szCs w:val="20"/>
          <w:lang w:val="ro-RO"/>
        </w:rPr>
        <w:t xml:space="preserve">Focalizându-se pe patru criterii de evaluare: relevanță, eficacitate, coerență externă și eficiență, evaluarea formulează concluzii și recomandări pentru Autoritatea de Management și alte părți interesate, în vederea îmbunătățirii formelor de sprijin în intervenții similare și într-un context dominat de o dinamică socio-economică în continuă schimbare. </w:t>
      </w:r>
    </w:p>
    <w:p w14:paraId="2A883B2D" w14:textId="77777777" w:rsidR="00CE0B89" w:rsidRPr="00CE0B89" w:rsidRDefault="00CE0B89" w:rsidP="00CE0B89">
      <w:pPr>
        <w:spacing w:before="120" w:after="120" w:line="240" w:lineRule="auto"/>
        <w:jc w:val="both"/>
        <w:rPr>
          <w:rFonts w:ascii="Calibri" w:hAnsi="Calibri" w:cs="Calibri"/>
          <w:sz w:val="20"/>
          <w:szCs w:val="20"/>
          <w:lang w:val="ro-RO"/>
        </w:rPr>
      </w:pPr>
      <w:r w:rsidRPr="00CE0B89">
        <w:rPr>
          <w:rFonts w:ascii="Calibri" w:hAnsi="Calibri" w:cs="Calibri"/>
          <w:sz w:val="20"/>
          <w:szCs w:val="20"/>
          <w:lang w:val="ro-RO"/>
        </w:rPr>
        <w:t xml:space="preserve">Aria de acoperire a evaluării este definită intervenții aferente  Priorității 2- O regiune accesibilă. Evaluarea a acoperit perioada de implementare a programului, începând cu data aprobării acestuia, 21 octombrie 2022 până la data de 31 decembrie 2024. </w:t>
      </w:r>
    </w:p>
    <w:p w14:paraId="4753053D" w14:textId="77777777" w:rsidR="00CE0B89" w:rsidRPr="00CE0B89" w:rsidRDefault="00CE0B89" w:rsidP="00CE0B89">
      <w:pPr>
        <w:spacing w:before="120" w:after="120" w:line="240" w:lineRule="auto"/>
        <w:jc w:val="both"/>
        <w:rPr>
          <w:rFonts w:ascii="Calibri" w:hAnsi="Calibri" w:cs="Calibri"/>
          <w:sz w:val="20"/>
          <w:szCs w:val="20"/>
          <w:lang w:val="ro-RO"/>
        </w:rPr>
      </w:pPr>
      <w:r w:rsidRPr="00CE0B89">
        <w:rPr>
          <w:rFonts w:ascii="Calibri" w:hAnsi="Calibri" w:cs="Calibri"/>
          <w:sz w:val="20"/>
          <w:szCs w:val="20"/>
          <w:lang w:val="ro-RO"/>
        </w:rPr>
        <w:t xml:space="preserve">Aria teritorială de acoperire, respectiv zona geografică acoperită, este reprezentată de întregul teritoriu al Regiunii de Dezvoltare Sud-Est, cu județele componente, respectiv Brăila, Buzău, Constanța, Galați, Tulcea și Vrancea, inclusiv zona Deltei Dunării. </w:t>
      </w:r>
    </w:p>
    <w:p w14:paraId="56FCD179" w14:textId="77777777" w:rsidR="00CE0B89" w:rsidRPr="00CE0B89" w:rsidRDefault="00CE0B89" w:rsidP="00CE0B89">
      <w:pPr>
        <w:spacing w:before="120" w:after="120" w:line="240" w:lineRule="auto"/>
        <w:jc w:val="both"/>
        <w:rPr>
          <w:rFonts w:ascii="Calibri" w:hAnsi="Calibri" w:cs="Calibri"/>
          <w:sz w:val="20"/>
          <w:szCs w:val="20"/>
          <w:lang w:val="ro-RO"/>
        </w:rPr>
      </w:pPr>
      <w:r w:rsidRPr="00CE0B89">
        <w:rPr>
          <w:rFonts w:ascii="Calibri" w:hAnsi="Calibri" w:cs="Calibri"/>
          <w:sz w:val="20"/>
          <w:szCs w:val="20"/>
          <w:lang w:val="ro-RO"/>
        </w:rPr>
        <w:t xml:space="preserve">Metodologia de evaluare, construită pe cele șapte întrebări de evaluare ale caietului de sarcini, s-a bazat pe o combinație optimă de metode și instrumente de evaluare incluzând: cercetare documentară, interviuri, sondaje, focus grup și ateliere de lucru, studii de caz, panel de experți, metode cantitative de analiză a progresului în implementare. </w:t>
      </w:r>
    </w:p>
    <w:p w14:paraId="3BFCE068" w14:textId="77777777" w:rsidR="00CE0B89" w:rsidRPr="00CE0B89" w:rsidRDefault="00CE0B89" w:rsidP="00CE0B89">
      <w:pPr>
        <w:spacing w:before="120" w:after="120" w:line="240" w:lineRule="auto"/>
        <w:jc w:val="both"/>
        <w:rPr>
          <w:rFonts w:ascii="Calibri" w:hAnsi="Calibri" w:cs="Calibri"/>
          <w:sz w:val="20"/>
          <w:szCs w:val="20"/>
          <w:lang w:val="ro-RO"/>
        </w:rPr>
      </w:pPr>
      <w:r w:rsidRPr="00CE0B89">
        <w:rPr>
          <w:rFonts w:ascii="Calibri" w:hAnsi="Calibri" w:cs="Calibri"/>
          <w:sz w:val="20"/>
          <w:szCs w:val="20"/>
          <w:lang w:val="ro-RO"/>
        </w:rPr>
        <w:t>Procesul de evaluare a fost afectat de constrângeri de timp, disponibilitatea redusă a beneficiarilor și incidența redusă a proiectelor noi. Majoritatea proiectelor evaluate sunt fie etapizate din perioada anterioară de programare, fie noi dar aflate în faze incipiente, ceea ce a limitat analiza la țintele asumate, în absența unor rezultate efective generate de lipsa contractelor finalizate.</w:t>
      </w:r>
    </w:p>
    <w:p w14:paraId="6F39BA43" w14:textId="77777777" w:rsidR="00CE0B89" w:rsidRPr="00CE0B89" w:rsidRDefault="00CE0B89" w:rsidP="00CE0B89">
      <w:pPr>
        <w:spacing w:before="120" w:after="120" w:line="240" w:lineRule="auto"/>
        <w:jc w:val="both"/>
        <w:rPr>
          <w:rFonts w:ascii="Calibri" w:hAnsi="Calibri" w:cs="Calibri"/>
          <w:sz w:val="20"/>
          <w:szCs w:val="20"/>
          <w:lang w:val="ro-RO"/>
        </w:rPr>
      </w:pPr>
      <w:r w:rsidRPr="00CE0B89">
        <w:rPr>
          <w:rFonts w:ascii="Calibri" w:hAnsi="Calibri" w:cs="Calibri"/>
          <w:sz w:val="20"/>
          <w:szCs w:val="20"/>
          <w:lang w:val="ro-RO"/>
        </w:rPr>
        <w:t>Programul Regional Sud-Est (PRSE) 2021-2027, alături de celelalte șapte programe regionale, reprezintă o premieră în cadrul Acordului de Parteneriat al României cu Uniunea Europeană, fiind pentru prima dată gestionate la nivel regional în cadrul Politicii de Coeziune. Obiectivul PRSE sprijină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w:t>
      </w:r>
    </w:p>
    <w:p w14:paraId="14AB9D4B" w14:textId="77777777" w:rsidR="00CE0B89" w:rsidRPr="00CE0B89" w:rsidRDefault="00CE0B89" w:rsidP="00CE0B89">
      <w:pPr>
        <w:spacing w:before="120" w:after="120" w:line="240" w:lineRule="auto"/>
        <w:jc w:val="both"/>
        <w:rPr>
          <w:rFonts w:ascii="Calibri" w:hAnsi="Calibri" w:cs="Calibri"/>
          <w:sz w:val="20"/>
          <w:szCs w:val="20"/>
          <w:lang w:val="ro-RO"/>
        </w:rPr>
      </w:pPr>
      <w:r w:rsidRPr="00CE0B89">
        <w:rPr>
          <w:rFonts w:ascii="Calibri" w:hAnsi="Calibri" w:cs="Calibri"/>
          <w:sz w:val="20"/>
          <w:szCs w:val="20"/>
          <w:lang w:val="ro-RO"/>
        </w:rPr>
        <w:t>Intervențiile finanțate în cadrul Priorității 2 au fost concepute pentru a răspunde unor probleme stringente existente la nivelul regiunii Sud-Est, precum gradul redus de eficiență energetică a clădirilor publice și rezidențiale, vulnerabilitatea seismică a unor imobile esențiale, lipsa spațiilor verzi și expunerea la schimbările climatice, în special în ceea ce privește riscul de inundații și deșertificare. Evenimente recente, cum ar fi inundațiile din județul Galați din anul 2024, au confirmat necesitatea unor intervenții mai bine adaptate la aceste riscuri.</w:t>
      </w:r>
    </w:p>
    <w:p w14:paraId="16BE10F4" w14:textId="51D11AE1" w:rsidR="00CE0B89" w:rsidRPr="00CE0B89" w:rsidRDefault="00CE0B89" w:rsidP="00CE0B89">
      <w:pPr>
        <w:spacing w:before="120" w:after="120" w:line="240" w:lineRule="auto"/>
        <w:jc w:val="both"/>
        <w:rPr>
          <w:rFonts w:ascii="Calibri" w:hAnsi="Calibri" w:cs="Calibri"/>
          <w:b/>
          <w:bCs/>
          <w:sz w:val="20"/>
          <w:szCs w:val="20"/>
          <w:lang w:val="ro-RO"/>
        </w:rPr>
      </w:pPr>
      <w:r w:rsidRPr="00CE0B89">
        <w:rPr>
          <w:rFonts w:ascii="Calibri" w:hAnsi="Calibri" w:cs="Calibri"/>
          <w:b/>
          <w:bCs/>
          <w:sz w:val="20"/>
          <w:szCs w:val="20"/>
          <w:lang w:val="ro-RO"/>
        </w:rPr>
        <w:t>Constatări și concluzii ale evaluării</w:t>
      </w:r>
    </w:p>
    <w:p w14:paraId="149D17CA" w14:textId="77777777" w:rsidR="00CE0B89" w:rsidRPr="00CE0B89" w:rsidRDefault="00CE0B89" w:rsidP="00CE0B89">
      <w:pPr>
        <w:spacing w:before="120" w:after="120" w:line="240" w:lineRule="auto"/>
        <w:jc w:val="both"/>
        <w:rPr>
          <w:rFonts w:ascii="Calibri" w:hAnsi="Calibri" w:cs="Calibri"/>
          <w:sz w:val="20"/>
          <w:szCs w:val="20"/>
          <w:lang w:val="ro-RO"/>
        </w:rPr>
      </w:pPr>
      <w:r w:rsidRPr="00CE0B89">
        <w:rPr>
          <w:rFonts w:ascii="Calibri" w:hAnsi="Calibri" w:cs="Calibri"/>
          <w:sz w:val="20"/>
          <w:szCs w:val="20"/>
          <w:lang w:val="ro-RO"/>
        </w:rPr>
        <w:t>Evaluarea implementării Priorității 2 din cadrul Programului Regional Sud-Est 2021-2027 (PRSE) evidențiază atât progresele realizate, cât și provocările întâmpinate, oferind o imagine asupra ritmului implementării,  a relevanței intervențiilor la nevoile socio economice actuale și coerenței programului la direcțiile europene de dezvoltare.</w:t>
      </w:r>
    </w:p>
    <w:p w14:paraId="69A66E3B" w14:textId="77777777" w:rsidR="00CE0B89" w:rsidRPr="00CE0B89" w:rsidRDefault="00CE0B89" w:rsidP="00CE0B89">
      <w:pPr>
        <w:spacing w:before="120" w:after="120" w:line="240" w:lineRule="auto"/>
        <w:jc w:val="both"/>
        <w:rPr>
          <w:rFonts w:ascii="Calibri" w:hAnsi="Calibri" w:cs="Calibri"/>
          <w:sz w:val="20"/>
          <w:szCs w:val="20"/>
          <w:lang w:val="ro-RO"/>
        </w:rPr>
      </w:pPr>
      <w:r w:rsidRPr="00CE0B89">
        <w:rPr>
          <w:rFonts w:ascii="Calibri" w:hAnsi="Calibri" w:cs="Calibri"/>
          <w:sz w:val="20"/>
          <w:szCs w:val="20"/>
          <w:lang w:val="ro-RO"/>
        </w:rPr>
        <w:t>Provocările structurale care au fundamentat intervențiile PRSEProgramului Regional Sud-Est 2021-2027, în special în tranziția verde, se mențin. La nivelul Priorității 2 persistă nevoi legate de eficiența energetică, adaptarea la schimbările climatice și protecția biodiversității. Regiunea continuă să fie afectată de un consum energetic ridicat, vulnerabilitate seismică și riscuri climatice, în contextul unui progres limitat în renovarea și consolidarea clădirilor. Inundațiile severe din Galați (2024) subliniază nevoia unor măsuri suplimentare de prevenire și gestionare a riscurilor.</w:t>
      </w:r>
    </w:p>
    <w:p w14:paraId="30DFC312" w14:textId="77777777" w:rsidR="00CE0B89" w:rsidRPr="00CE0B89" w:rsidRDefault="00CE0B89" w:rsidP="00CE0B89">
      <w:pPr>
        <w:spacing w:before="120" w:after="120" w:line="240" w:lineRule="auto"/>
        <w:jc w:val="both"/>
        <w:rPr>
          <w:rFonts w:ascii="Calibri" w:hAnsi="Calibri" w:cs="Calibri"/>
          <w:sz w:val="20"/>
          <w:szCs w:val="20"/>
          <w:lang w:val="ro-RO"/>
        </w:rPr>
      </w:pPr>
      <w:r w:rsidRPr="00CE0B89">
        <w:rPr>
          <w:rFonts w:ascii="Calibri" w:hAnsi="Calibri" w:cs="Calibri"/>
          <w:sz w:val="20"/>
          <w:szCs w:val="20"/>
          <w:lang w:val="ro-RO"/>
        </w:rPr>
        <w:t xml:space="preserve">Intervențiile Priorității 2 sunt aliniate cu Recomandările Specifice de Țară formulate în perioada 2019-2024 care sunt în cea mai mare parte în continuare valide., deoarece progresul în implementarea lor nu este complet, conform Raportului de țară din 2024. P2 contribuie la RSȚ3 2022, RSȚ3 2023 și RSȚ2 2019 în ceea ce privește eficiența </w:t>
      </w:r>
      <w:r w:rsidRPr="00CE0B89">
        <w:rPr>
          <w:rFonts w:ascii="Calibri" w:hAnsi="Calibri" w:cs="Calibri"/>
          <w:sz w:val="20"/>
          <w:szCs w:val="20"/>
          <w:lang w:val="ro-RO"/>
        </w:rPr>
        <w:lastRenderedPageBreak/>
        <w:t>energetică prin investiții semnificative în renovarea clădirilor publice și rezidențiale (OS2.1) cu progrese importante în contractare și implementare. În ceea ce privește recomandările din 2024, P2 răspunde recomandării care vizează accelerarea punerii în aplicare a programelor politicii de coeziune prin guvernanță eficace și consolidarea capacității administrative prevăzând acțiuni de consolidare a capacității administrative a beneficiarilor în domeniul eficienței energetice.</w:t>
      </w:r>
    </w:p>
    <w:p w14:paraId="134B6A20" w14:textId="77777777" w:rsidR="00CE0B89" w:rsidRPr="00CE0B89" w:rsidRDefault="00CE0B89" w:rsidP="00CE0B89">
      <w:pPr>
        <w:spacing w:before="120" w:after="120" w:line="240" w:lineRule="auto"/>
        <w:jc w:val="both"/>
        <w:rPr>
          <w:rFonts w:ascii="Calibri" w:hAnsi="Calibri" w:cs="Calibri"/>
          <w:sz w:val="20"/>
          <w:szCs w:val="20"/>
          <w:lang w:val="ro-RO"/>
        </w:rPr>
      </w:pPr>
      <w:r w:rsidRPr="00CE0B89">
        <w:rPr>
          <w:rFonts w:ascii="Calibri" w:hAnsi="Calibri" w:cs="Calibri"/>
          <w:sz w:val="20"/>
          <w:szCs w:val="20"/>
          <w:lang w:val="ro-RO"/>
        </w:rPr>
        <w:t xml:space="preserve">Prioritatea 2 sprijină obiectivul de mediu eficiență energetică al Planului Național Integrat în domeniul Energiei și Schimbărilor Climatice (PNIESC), mai exact două politici și măsuri (P&amp;M) printr-o alocare de totală de 169,45 milioane EUR, respectiv Îmbunătățirea performanței energetice a clădirilor publice la nivel local (P&amp;M 36) și Renovarea clădirilor rezidențiale. (P&amp;M 37). </w:t>
      </w:r>
    </w:p>
    <w:p w14:paraId="4F330645" w14:textId="77777777" w:rsidR="00CE0B89" w:rsidRPr="00CE0B89" w:rsidRDefault="00CE0B89" w:rsidP="00CE0B89">
      <w:pPr>
        <w:spacing w:before="120" w:after="120" w:line="240" w:lineRule="auto"/>
        <w:jc w:val="both"/>
        <w:rPr>
          <w:rFonts w:ascii="Calibri" w:hAnsi="Calibri" w:cs="Calibri"/>
          <w:sz w:val="20"/>
          <w:szCs w:val="20"/>
          <w:lang w:val="ro-RO"/>
        </w:rPr>
      </w:pPr>
      <w:r w:rsidRPr="00CE0B89">
        <w:rPr>
          <w:rFonts w:ascii="Calibri" w:hAnsi="Calibri" w:cs="Calibri"/>
          <w:sz w:val="20"/>
          <w:szCs w:val="20"/>
          <w:lang w:val="ro-RO"/>
        </w:rPr>
        <w:t>Intervențiile aferente Priorității 2 sprijină în mod indirect atingerea țintelor Pilonul European al Drepturilor Sociale (PEDS) prin integrarea principiilor egalității de șanse, nediscriminării și accesibilizării persoanelor cu dizabilități ca cerințe orizontale în implementarea proiectelor. Deși nu există alocări financiare dedicate, aceste principii sunt impuse ca criterii de selecție și implementare, asigurându-se astfel respectarea și promovarea la nivelul intervențiilor Priorității 2.</w:t>
      </w:r>
    </w:p>
    <w:p w14:paraId="73846B31" w14:textId="77777777" w:rsidR="00CE0B89" w:rsidRPr="00CE0B89" w:rsidRDefault="00CE0B89" w:rsidP="00CE0B89">
      <w:pPr>
        <w:spacing w:before="120" w:after="120" w:line="240" w:lineRule="auto"/>
        <w:jc w:val="both"/>
        <w:rPr>
          <w:rFonts w:ascii="Calibri" w:hAnsi="Calibri" w:cs="Calibri"/>
          <w:sz w:val="20"/>
          <w:szCs w:val="20"/>
          <w:lang w:val="ro-RO"/>
        </w:rPr>
      </w:pPr>
      <w:r w:rsidRPr="00CE0B89">
        <w:rPr>
          <w:rFonts w:ascii="Calibri" w:hAnsi="Calibri" w:cs="Calibri"/>
          <w:sz w:val="20"/>
          <w:szCs w:val="20"/>
          <w:lang w:val="ro-RO"/>
        </w:rPr>
        <w:t xml:space="preserve">Progresul în atingerea obiectivelor specifice este diferit în funcție de fiecare componentă a Priorității 2. </w:t>
      </w:r>
    </w:p>
    <w:p w14:paraId="3A1126BF" w14:textId="77777777" w:rsidR="00CE0B89" w:rsidRPr="00CE0B89" w:rsidRDefault="00CE0B89" w:rsidP="00CE0B89">
      <w:pPr>
        <w:spacing w:before="120" w:after="120" w:line="240" w:lineRule="auto"/>
        <w:jc w:val="both"/>
        <w:rPr>
          <w:rFonts w:ascii="Calibri" w:hAnsi="Calibri" w:cs="Calibri"/>
          <w:sz w:val="20"/>
          <w:szCs w:val="20"/>
          <w:lang w:val="ro-RO"/>
        </w:rPr>
      </w:pPr>
      <w:r w:rsidRPr="00CE0B89">
        <w:rPr>
          <w:rFonts w:ascii="Calibri" w:hAnsi="Calibri" w:cs="Calibri"/>
          <w:sz w:val="20"/>
          <w:szCs w:val="20"/>
          <w:lang w:val="ro-RO"/>
        </w:rPr>
        <w:t xml:space="preserve">În ceea ce privește eficiența energetică a clădirilor publice și rezidențiale (OS2.1), gradul de contractare este ridicat, atingând 47% din alocarea totală, însă implementarea efectivă este mult întârziată, cu cheltuieli autorizate care reprezintă doar 0,45% din suma contractată. Proiectele contractate ar putea acoperi aproximativ 74% din țintele finale stabilite pentru îmbunătățirea performanței energetice a clădirilor publice și 15% pentru îmbunătățirea performanței energetice a locuințelor. </w:t>
      </w:r>
    </w:p>
    <w:p w14:paraId="3F082F40" w14:textId="77777777" w:rsidR="00CE0B89" w:rsidRPr="00CE0B89" w:rsidRDefault="00CE0B89" w:rsidP="00CE0B89">
      <w:pPr>
        <w:spacing w:before="120" w:after="120" w:line="240" w:lineRule="auto"/>
        <w:jc w:val="both"/>
        <w:rPr>
          <w:rFonts w:ascii="Calibri" w:hAnsi="Calibri" w:cs="Calibri"/>
          <w:sz w:val="20"/>
          <w:szCs w:val="20"/>
          <w:lang w:val="ro-RO"/>
        </w:rPr>
      </w:pPr>
      <w:r w:rsidRPr="00CE0B89">
        <w:rPr>
          <w:rFonts w:ascii="Calibri" w:hAnsi="Calibri" w:cs="Calibri"/>
          <w:sz w:val="20"/>
          <w:szCs w:val="20"/>
          <w:lang w:val="ro-RO"/>
        </w:rPr>
        <w:t xml:space="preserve">Pentru OS2.4, care vizează prevenirea riscurilor climatice și adaptarea la schimbările climatice, doar un proiect a fost contractat, reprezentând 2% din alocare, operațiunea selectată indicând un grad de asumare de 29% față de ținta finală. Mai mult decât atât, se constată un interes scăzut pentru acțiunile dedicate perdelelor forestiere din cauza unor impedimente precum asigurarea mentenanței și logisticii investițiilor, completate de dificultăți de ordin jurdic în ceea ce privește obținerea terenurilor necesare pentru plantarea perdelelor forestiere, ceea ce sugerează necesitatea realocării fondurilor către nevoile mai urgente, cum e cazul inundanțiilor din județul Galați.  </w:t>
      </w:r>
    </w:p>
    <w:p w14:paraId="38097721" w14:textId="77777777" w:rsidR="00CE0B89" w:rsidRPr="00CE0B89" w:rsidRDefault="00CE0B89" w:rsidP="00CE0B89">
      <w:pPr>
        <w:spacing w:before="120" w:after="120" w:line="240" w:lineRule="auto"/>
        <w:jc w:val="both"/>
        <w:rPr>
          <w:rFonts w:ascii="Calibri" w:hAnsi="Calibri" w:cs="Calibri"/>
          <w:sz w:val="20"/>
          <w:szCs w:val="20"/>
          <w:lang w:val="ro-RO"/>
        </w:rPr>
      </w:pPr>
      <w:r w:rsidRPr="00CE0B89">
        <w:rPr>
          <w:rFonts w:ascii="Calibri" w:hAnsi="Calibri" w:cs="Calibri"/>
          <w:sz w:val="20"/>
          <w:szCs w:val="20"/>
          <w:lang w:val="ro-RO"/>
        </w:rPr>
        <w:t>În cazul OS2.7, care sprijină protecția biodiversității și infrastructura verde, nu există proiecte contractate până în prezent. Deși un proiect major destinat ITI Delta Dunării este în pregătire, acesta întâmpină întârzieri din cauza dificultăților administrative și a complexității procesului de coordonare între actorii implicați.</w:t>
      </w:r>
    </w:p>
    <w:p w14:paraId="5E2BEE66" w14:textId="77777777" w:rsidR="00CE0B89" w:rsidRPr="00CE0B89" w:rsidRDefault="00CE0B89" w:rsidP="00CE0B89">
      <w:pPr>
        <w:spacing w:before="120" w:after="120" w:line="240" w:lineRule="auto"/>
        <w:jc w:val="both"/>
        <w:rPr>
          <w:rFonts w:ascii="Calibri" w:hAnsi="Calibri" w:cs="Calibri"/>
          <w:sz w:val="20"/>
          <w:szCs w:val="20"/>
          <w:lang w:val="ro-RO"/>
        </w:rPr>
      </w:pPr>
      <w:r w:rsidRPr="00CE0B89">
        <w:rPr>
          <w:rFonts w:ascii="Calibri" w:hAnsi="Calibri" w:cs="Calibri"/>
          <w:sz w:val="20"/>
          <w:szCs w:val="20"/>
          <w:lang w:val="ro-RO"/>
        </w:rPr>
        <w:t xml:space="preserve">Evaluarea evidențiază că mecanismul ITI Delta Dunării are o absorbție scăzută a fondurilor disponibile. Deși s-a alocat o sumă de 43 milioane EUR pentru această zonă, doar 8% din totalul contractat în cadrul Priorității 2 provine din ITI DD. </w:t>
      </w:r>
    </w:p>
    <w:p w14:paraId="15F194F9" w14:textId="202F4806" w:rsidR="00CE0B89" w:rsidRPr="00CE0B89" w:rsidRDefault="00CE0B89" w:rsidP="00CE0B89">
      <w:pPr>
        <w:spacing w:before="120" w:after="120" w:line="240" w:lineRule="auto"/>
        <w:jc w:val="both"/>
        <w:rPr>
          <w:rFonts w:ascii="Calibri" w:hAnsi="Calibri" w:cs="Calibri"/>
          <w:sz w:val="20"/>
          <w:szCs w:val="20"/>
          <w:lang w:val="ro-RO"/>
        </w:rPr>
      </w:pPr>
      <w:r w:rsidRPr="00CE0B89">
        <w:rPr>
          <w:rFonts w:ascii="Calibri" w:hAnsi="Calibri" w:cs="Calibri"/>
          <w:sz w:val="20"/>
          <w:szCs w:val="20"/>
          <w:lang w:val="ro-RO"/>
        </w:rPr>
        <w:t>Gradul redus de progres în ceea ce privește implementarea intervențiilor la nivelul P2 este generat de o serie de provocări specifice întregului program. Se remarcă în special dificultăți în cazul unităților administrativ-teritoriale (UAT) mici și medii, care dispun de resurse limitate. Diferențele de capacitate administrativă determină variații în eficiența implementării proiectelor, iar apelarea la consultanță externă, uneori de calitate slabă, nu reușește întotdeauna să compenseze lipsa de expertiză internă. La nivelul etapei de selecție, deficitul de evaluatori specializați în domeniul eficienței energetice și ghidurile în continuare neclare pentru unii beneficiari, îngreunează aplicarea din partea beneficiarilor. În faza de implementare și monitorizare, întârzierile în achiziții, dependența de prefinanțare, creșterea prețurilor materialelor de construcții și capacitatea limitată a pieței de consultanți și contractori generează presiuni suplimentare asupra beneficiarilor. În plus, disfuncționalitățile platformei MySMIS afectează negativ procesele de monitorizare și raportare. Aceste provocări administrative, financiare și de resurse umane afectează toate etapele ciclului de viață al proiectelor, influențând durata și calitatea implementării.</w:t>
      </w:r>
    </w:p>
    <w:p w14:paraId="6FECDBA3" w14:textId="77777777" w:rsidR="00CE0B89" w:rsidRPr="00CE0B89" w:rsidRDefault="00CE0B89" w:rsidP="00CE0B89">
      <w:pPr>
        <w:spacing w:before="120" w:after="120" w:line="240" w:lineRule="auto"/>
        <w:jc w:val="both"/>
        <w:rPr>
          <w:rFonts w:ascii="Calibri" w:hAnsi="Calibri" w:cs="Calibri"/>
          <w:sz w:val="20"/>
          <w:szCs w:val="20"/>
          <w:lang w:val="ro-RO"/>
        </w:rPr>
      </w:pPr>
      <w:r w:rsidRPr="00CE0B89">
        <w:rPr>
          <w:rFonts w:ascii="Calibri" w:hAnsi="Calibri" w:cs="Calibri"/>
          <w:sz w:val="20"/>
          <w:szCs w:val="20"/>
          <w:lang w:val="ro-RO"/>
        </w:rPr>
        <w:t xml:space="preserve">Intervențiile Priorității 2 ale PRSE rămân în continuare relevante față de nevoile socio-economice actuale ale regiunii Sud-Est și sunt coerente cu direcțiile europene de dezvoltare în ceea ce privește eficiența energetică însă implementarea sa este întârziată iar progresul este redus. Totuși, se estimează că odată cu accelerarea proceselor șimăsurilor suplimentare de sprijin adminisrativ, țintele finale vor fi atinse până la sfârșitul perioadei de programare. </w:t>
      </w:r>
      <w:r w:rsidRPr="00CE0B89">
        <w:rPr>
          <w:rFonts w:ascii="Calibri" w:hAnsi="Calibri" w:cs="Calibri"/>
          <w:sz w:val="20"/>
          <w:szCs w:val="20"/>
          <w:lang w:val="ro-RO"/>
        </w:rPr>
        <w:lastRenderedPageBreak/>
        <w:t>În plus, nu există riscuri semnificative care să conducă la o nouă etapizare a proiectelor, ceea ce oferă încredere în realizarea completă a obiectivelor stabilite și în reducerea disparităților la nivel regional.</w:t>
      </w:r>
    </w:p>
    <w:p w14:paraId="6CB2EB7B" w14:textId="77777777" w:rsidR="00CE0B89" w:rsidRPr="00CE0B89" w:rsidRDefault="00CE0B89" w:rsidP="00CE0B89">
      <w:pPr>
        <w:spacing w:before="120" w:after="120" w:line="240" w:lineRule="auto"/>
        <w:jc w:val="both"/>
        <w:rPr>
          <w:rFonts w:ascii="Calibri" w:hAnsi="Calibri" w:cs="Calibri"/>
          <w:sz w:val="20"/>
          <w:szCs w:val="20"/>
          <w:lang w:val="ro-RO"/>
        </w:rPr>
      </w:pPr>
      <w:r w:rsidRPr="00CE0B89">
        <w:rPr>
          <w:rFonts w:ascii="Calibri" w:hAnsi="Calibri" w:cs="Calibri"/>
          <w:sz w:val="20"/>
          <w:szCs w:val="20"/>
          <w:lang w:val="ro-RO"/>
        </w:rPr>
        <w:t>Pentru îmbunătățirea implementării programului, se recomandă:</w:t>
      </w:r>
    </w:p>
    <w:p w14:paraId="2700C3D9" w14:textId="425F3EB2" w:rsidR="00CE0B89" w:rsidRPr="00CE0B89" w:rsidRDefault="00CE0B89" w:rsidP="00CE0B89">
      <w:pPr>
        <w:pStyle w:val="ListParagraph"/>
        <w:numPr>
          <w:ilvl w:val="0"/>
          <w:numId w:val="1"/>
        </w:numPr>
        <w:spacing w:before="120" w:after="120" w:line="240" w:lineRule="auto"/>
        <w:jc w:val="both"/>
        <w:rPr>
          <w:rFonts w:ascii="Calibri" w:hAnsi="Calibri" w:cs="Calibri"/>
          <w:sz w:val="20"/>
          <w:szCs w:val="20"/>
          <w:lang w:val="ro-RO"/>
        </w:rPr>
      </w:pPr>
      <w:r w:rsidRPr="00CE0B89">
        <w:rPr>
          <w:rFonts w:ascii="Calibri" w:hAnsi="Calibri" w:cs="Calibri"/>
          <w:sz w:val="20"/>
          <w:szCs w:val="20"/>
          <w:lang w:val="ro-RO"/>
        </w:rPr>
        <w:t>Accelerarea implementării proiectelor contractate, prin introducerea unor clauze contractuale vizând penalități pentru depășirea termenelor prevăzute în graficele de rambursare.</w:t>
      </w:r>
    </w:p>
    <w:p w14:paraId="6366208A" w14:textId="26F5552B" w:rsidR="00CE0B89" w:rsidRPr="00CE0B89" w:rsidRDefault="00CE0B89" w:rsidP="00CE0B89">
      <w:pPr>
        <w:pStyle w:val="ListParagraph"/>
        <w:numPr>
          <w:ilvl w:val="0"/>
          <w:numId w:val="1"/>
        </w:numPr>
        <w:spacing w:before="120" w:after="120" w:line="240" w:lineRule="auto"/>
        <w:jc w:val="both"/>
        <w:rPr>
          <w:rFonts w:ascii="Calibri" w:hAnsi="Calibri" w:cs="Calibri"/>
          <w:sz w:val="20"/>
          <w:szCs w:val="20"/>
          <w:lang w:val="ro-RO"/>
        </w:rPr>
      </w:pPr>
      <w:r w:rsidRPr="00CE0B89">
        <w:rPr>
          <w:rFonts w:ascii="Calibri" w:hAnsi="Calibri" w:cs="Calibri"/>
          <w:sz w:val="20"/>
          <w:szCs w:val="20"/>
          <w:lang w:val="ro-RO"/>
        </w:rPr>
        <w:t>Reorientarea finanțării OS2.4 spre măsuri de prevenire a riscurilor climatice, având în vedere interesul scăzut pentru perdelele forestiere și nevoia urgentă de intervenții împotriva inundațiilor.</w:t>
      </w:r>
    </w:p>
    <w:p w14:paraId="5FFB3DA0" w14:textId="362C7F96" w:rsidR="00CE0B89" w:rsidRPr="00CE0B89" w:rsidRDefault="00CE0B89" w:rsidP="00CE0B89">
      <w:pPr>
        <w:pStyle w:val="ListParagraph"/>
        <w:numPr>
          <w:ilvl w:val="0"/>
          <w:numId w:val="1"/>
        </w:numPr>
        <w:spacing w:before="120" w:after="120" w:line="240" w:lineRule="auto"/>
        <w:jc w:val="both"/>
        <w:rPr>
          <w:rFonts w:ascii="Calibri" w:hAnsi="Calibri" w:cs="Calibri"/>
          <w:sz w:val="20"/>
          <w:szCs w:val="20"/>
          <w:lang w:val="ro-RO"/>
        </w:rPr>
      </w:pPr>
      <w:r w:rsidRPr="00CE0B89">
        <w:rPr>
          <w:rFonts w:ascii="Calibri" w:hAnsi="Calibri" w:cs="Calibri"/>
          <w:sz w:val="20"/>
          <w:szCs w:val="20"/>
          <w:lang w:val="ro-RO"/>
        </w:rPr>
        <w:t>Monitorizarea proiectului aferent OS2.7. Situl Natura 2000, aflat în pregătire, mobilizarea parților interesate cu autoritate pentru deblocarea proceselor complexe aferente pregătirii în vederea depunerii și implementării acestuia.</w:t>
      </w:r>
    </w:p>
    <w:p w14:paraId="447807C1" w14:textId="700499DB" w:rsidR="00CE0B89" w:rsidRPr="00CE0B89" w:rsidRDefault="00CE0B89" w:rsidP="00CE0B89">
      <w:pPr>
        <w:pStyle w:val="ListParagraph"/>
        <w:numPr>
          <w:ilvl w:val="0"/>
          <w:numId w:val="1"/>
        </w:numPr>
        <w:spacing w:before="120" w:after="120" w:line="240" w:lineRule="auto"/>
        <w:jc w:val="both"/>
        <w:rPr>
          <w:rFonts w:ascii="Calibri" w:hAnsi="Calibri" w:cs="Calibri"/>
          <w:sz w:val="20"/>
          <w:szCs w:val="20"/>
          <w:lang w:val="ro-RO"/>
        </w:rPr>
      </w:pPr>
      <w:r w:rsidRPr="00CE0B89">
        <w:rPr>
          <w:rFonts w:ascii="Calibri" w:hAnsi="Calibri" w:cs="Calibri"/>
          <w:sz w:val="20"/>
          <w:szCs w:val="20"/>
          <w:lang w:val="ro-RO"/>
        </w:rPr>
        <w:t>Întărirea capacității administrative a beneficiarilor, în special cei din urbanul mic și mediu, prin instruiri dedicate și sprijin tehnic personalizat.</w:t>
      </w:r>
    </w:p>
    <w:p w14:paraId="2C078E63" w14:textId="56FB279C" w:rsidR="001B64A2" w:rsidRPr="00CE0B89" w:rsidRDefault="00CE0B89" w:rsidP="00CE0B89">
      <w:pPr>
        <w:pStyle w:val="ListParagraph"/>
        <w:numPr>
          <w:ilvl w:val="0"/>
          <w:numId w:val="1"/>
        </w:numPr>
        <w:spacing w:before="120" w:after="120" w:line="240" w:lineRule="auto"/>
        <w:jc w:val="both"/>
        <w:rPr>
          <w:rFonts w:ascii="Calibri" w:hAnsi="Calibri" w:cs="Calibri"/>
          <w:sz w:val="20"/>
          <w:szCs w:val="20"/>
          <w:lang w:val="ro-RO"/>
        </w:rPr>
      </w:pPr>
      <w:r w:rsidRPr="00CE0B89">
        <w:rPr>
          <w:rFonts w:ascii="Calibri" w:hAnsi="Calibri" w:cs="Calibri"/>
          <w:sz w:val="20"/>
          <w:szCs w:val="20"/>
          <w:lang w:val="ro-RO"/>
        </w:rPr>
        <w:t xml:space="preserve">Reducerea perioadei de evaluare, selecție și contractare cu mobilizarea de resurse suplimentare în vârfurile de depuneri de proiecte, crearea unor echipe de evaluatori proprii,  inclusiv prin dezvoltarea competențelor în domeniul eficienței energetice.  </w:t>
      </w:r>
    </w:p>
    <w:sectPr w:rsidR="001B64A2" w:rsidRPr="00CE0B89">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822E7C" w14:textId="77777777" w:rsidR="00730F3F" w:rsidRDefault="00730F3F" w:rsidP="00730F3F">
      <w:pPr>
        <w:spacing w:after="0" w:line="240" w:lineRule="auto"/>
      </w:pPr>
      <w:r>
        <w:separator/>
      </w:r>
    </w:p>
  </w:endnote>
  <w:endnote w:type="continuationSeparator" w:id="0">
    <w:p w14:paraId="225C89B2" w14:textId="77777777" w:rsidR="00730F3F" w:rsidRDefault="00730F3F" w:rsidP="00730F3F">
      <w:pPr>
        <w:spacing w:after="0" w:line="240" w:lineRule="auto"/>
      </w:pPr>
      <w:r>
        <w:continuationSeparator/>
      </w:r>
    </w:p>
  </w:endnote>
  <w:endnote w:type="continuationNotice" w:id="1">
    <w:p w14:paraId="1E881EB0" w14:textId="77777777" w:rsidR="0007364B" w:rsidRDefault="000736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9E255" w14:textId="551D9C52" w:rsidR="00730F3F" w:rsidRDefault="004A1410" w:rsidP="00730F3F">
    <w:pPr>
      <w:jc w:val="center"/>
    </w:pPr>
    <w:r w:rsidRPr="003A668F">
      <w:rPr>
        <w:rFonts w:ascii="Calibri" w:hAnsi="Calibri" w:cs="Calibri"/>
        <w:b/>
        <w:bCs/>
        <w:noProof/>
        <w:color w:val="213F99"/>
        <w:sz w:val="20"/>
        <w:szCs w:val="20"/>
      </w:rPr>
      <w:drawing>
        <wp:anchor distT="0" distB="0" distL="114300" distR="114300" simplePos="0" relativeHeight="251658240" behindDoc="0" locked="0" layoutInCell="1" allowOverlap="1" wp14:anchorId="6C02CB21" wp14:editId="7F0126DE">
          <wp:simplePos x="0" y="0"/>
          <wp:positionH relativeFrom="page">
            <wp:posOffset>9525</wp:posOffset>
          </wp:positionH>
          <wp:positionV relativeFrom="paragraph">
            <wp:posOffset>162722</wp:posOffset>
          </wp:positionV>
          <wp:extent cx="7764780" cy="123190"/>
          <wp:effectExtent l="0" t="0" r="7620" b="0"/>
          <wp:wrapNone/>
          <wp:docPr id="1459224565" name="Imagine 1619975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975028" name=""/>
                  <pic:cNvPicPr/>
                </pic:nvPicPr>
                <pic:blipFill>
                  <a:blip r:embed="rId1">
                    <a:extLst>
                      <a:ext uri="{28A0092B-C50C-407E-A947-70E740481C1C}">
                        <a14:useLocalDpi xmlns:a14="http://schemas.microsoft.com/office/drawing/2010/main" val="0"/>
                      </a:ext>
                    </a:extLst>
                  </a:blip>
                  <a:stretch>
                    <a:fillRect/>
                  </a:stretch>
                </pic:blipFill>
                <pic:spPr>
                  <a:xfrm>
                    <a:off x="0" y="0"/>
                    <a:ext cx="7764780" cy="123190"/>
                  </a:xfrm>
                  <a:prstGeom prst="rect">
                    <a:avLst/>
                  </a:prstGeom>
                </pic:spPr>
              </pic:pic>
            </a:graphicData>
          </a:graphic>
          <wp14:sizeRelH relativeFrom="margin">
            <wp14:pctWidth>0</wp14:pctWidth>
          </wp14:sizeRelH>
          <wp14:sizeRelV relativeFrom="margin">
            <wp14:pctHeight>0</wp14:pctHeight>
          </wp14:sizeRelV>
        </wp:anchor>
      </w:drawing>
    </w:r>
  </w:p>
  <w:p w14:paraId="09E8E8CD" w14:textId="0A0FA813" w:rsidR="00730F3F" w:rsidRPr="0096438C" w:rsidRDefault="00730F3F" w:rsidP="00730F3F">
    <w:pPr>
      <w:jc w:val="center"/>
      <w:rPr>
        <w:rFonts w:ascii="Calibri" w:hAnsi="Calibri" w:cs="Calibri"/>
        <w:b/>
        <w:bCs/>
        <w:color w:val="213F99"/>
        <w:sz w:val="20"/>
        <w:szCs w:val="20"/>
      </w:rPr>
    </w:pPr>
    <w:hyperlink r:id="rId2" w:history="1">
      <w:r w:rsidRPr="0096438C">
        <w:rPr>
          <w:rStyle w:val="Hyperlink"/>
          <w:rFonts w:ascii="Calibri" w:hAnsi="Calibri" w:cs="Calibri"/>
          <w:b/>
          <w:bCs/>
          <w:color w:val="213F99"/>
          <w:sz w:val="20"/>
          <w:szCs w:val="20"/>
        </w:rPr>
        <w:t>RegioSE</w:t>
      </w:r>
    </w:hyperlink>
    <w:r w:rsidRPr="0096438C">
      <w:rPr>
        <w:rFonts w:ascii="Calibri" w:hAnsi="Calibri" w:cs="Calibri"/>
        <w:b/>
        <w:bCs/>
        <w:color w:val="213F99"/>
        <w:sz w:val="20"/>
        <w:szCs w:val="20"/>
      </w:rPr>
      <w:t xml:space="preserve">  |  </w:t>
    </w:r>
    <w:hyperlink r:id="rId3" w:history="1">
      <w:r w:rsidRPr="0096438C">
        <w:rPr>
          <w:rStyle w:val="Hyperlink"/>
          <w:rFonts w:ascii="Calibri" w:hAnsi="Calibri" w:cs="Calibri"/>
          <w:b/>
          <w:bCs/>
          <w:color w:val="213F99"/>
          <w:sz w:val="20"/>
          <w:szCs w:val="20"/>
        </w:rPr>
        <w:t>https://www.facebook.com/adrse.ro</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70737E" w14:textId="77777777" w:rsidR="00730F3F" w:rsidRDefault="00730F3F" w:rsidP="00730F3F">
      <w:pPr>
        <w:spacing w:after="0" w:line="240" w:lineRule="auto"/>
      </w:pPr>
      <w:r>
        <w:separator/>
      </w:r>
    </w:p>
  </w:footnote>
  <w:footnote w:type="continuationSeparator" w:id="0">
    <w:p w14:paraId="514904A1" w14:textId="77777777" w:rsidR="00730F3F" w:rsidRDefault="00730F3F" w:rsidP="00730F3F">
      <w:pPr>
        <w:spacing w:after="0" w:line="240" w:lineRule="auto"/>
      </w:pPr>
      <w:r>
        <w:continuationSeparator/>
      </w:r>
    </w:p>
  </w:footnote>
  <w:footnote w:type="continuationNotice" w:id="1">
    <w:p w14:paraId="7DECF348" w14:textId="77777777" w:rsidR="0007364B" w:rsidRDefault="0007364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F68C7" w14:textId="77777777" w:rsidR="0096438C" w:rsidRDefault="0096438C" w:rsidP="0096438C">
    <w:pPr>
      <w:pStyle w:val="Header"/>
      <w:tabs>
        <w:tab w:val="left" w:pos="4002"/>
        <w:tab w:val="left" w:pos="4601"/>
      </w:tabs>
    </w:pPr>
    <w:r w:rsidRPr="00024668">
      <w:rPr>
        <w:rFonts w:eastAsia="MS Mincho" w:cs="Arial"/>
        <w:b/>
        <w:noProof/>
        <w:color w:val="232323"/>
      </w:rPr>
      <w:drawing>
        <wp:anchor distT="0" distB="0" distL="0" distR="0" simplePos="0" relativeHeight="251658242" behindDoc="1" locked="0" layoutInCell="1" allowOverlap="1" wp14:anchorId="18734CA6" wp14:editId="1A50322F">
          <wp:simplePos x="0" y="0"/>
          <wp:positionH relativeFrom="page">
            <wp:posOffset>3743325</wp:posOffset>
          </wp:positionH>
          <wp:positionV relativeFrom="paragraph">
            <wp:posOffset>-152400</wp:posOffset>
          </wp:positionV>
          <wp:extent cx="533400" cy="485140"/>
          <wp:effectExtent l="0" t="0" r="0" b="0"/>
          <wp:wrapNone/>
          <wp:docPr id="36625783" name="Image 826" descr="A blue and white logo with a bird and a crown&#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26" name="Image 826" descr="A blue and white logo with a bird and a crown&#10;&#10;Description automatically generated"/>
                  <pic:cNvPicPr/>
                </pic:nvPicPr>
                <pic:blipFill>
                  <a:blip r:embed="rId1" cstate="print"/>
                  <a:stretch>
                    <a:fillRect/>
                  </a:stretch>
                </pic:blipFill>
                <pic:spPr>
                  <a:xfrm>
                    <a:off x="0" y="0"/>
                    <a:ext cx="533400" cy="485140"/>
                  </a:xfrm>
                  <a:prstGeom prst="rect">
                    <a:avLst/>
                  </a:prstGeom>
                </pic:spPr>
              </pic:pic>
            </a:graphicData>
          </a:graphic>
          <wp14:sizeRelH relativeFrom="margin">
            <wp14:pctWidth>0</wp14:pctWidth>
          </wp14:sizeRelH>
          <wp14:sizeRelV relativeFrom="margin">
            <wp14:pctHeight>0</wp14:pctHeight>
          </wp14:sizeRelV>
        </wp:anchor>
      </w:drawing>
    </w:r>
    <w:r w:rsidRPr="00024668">
      <w:rPr>
        <w:noProof/>
      </w:rPr>
      <w:drawing>
        <wp:anchor distT="0" distB="0" distL="114300" distR="114300" simplePos="0" relativeHeight="251658243" behindDoc="1" locked="0" layoutInCell="1" allowOverlap="1" wp14:anchorId="11A1F032" wp14:editId="0C886DB5">
          <wp:simplePos x="0" y="0"/>
          <wp:positionH relativeFrom="column">
            <wp:posOffset>5372100</wp:posOffset>
          </wp:positionH>
          <wp:positionV relativeFrom="paragraph">
            <wp:posOffset>-333375</wp:posOffset>
          </wp:positionV>
          <wp:extent cx="792480" cy="762000"/>
          <wp:effectExtent l="0" t="0" r="0" b="0"/>
          <wp:wrapNone/>
          <wp:docPr id="1215585661" name="Picture 7" descr="A colorful text on a black background&#10;&#10;Description automatically generated">
            <a:extLst xmlns:a="http://schemas.openxmlformats.org/drawingml/2006/main">
              <a:ext uri="{FF2B5EF4-FFF2-40B4-BE49-F238E27FC236}">
                <a16:creationId xmlns:a16="http://schemas.microsoft.com/office/drawing/2014/main" id="{48D29F41-CE07-12F9-6682-5B0F9901DA6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A colorful text on a black background&#10;&#10;Description automatically generated">
                    <a:extLst>
                      <a:ext uri="{FF2B5EF4-FFF2-40B4-BE49-F238E27FC236}">
                        <a16:creationId xmlns:a16="http://schemas.microsoft.com/office/drawing/2014/main" id="{48D29F41-CE07-12F9-6682-5B0F9901DA67}"/>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92480" cy="762000"/>
                  </a:xfrm>
                  <a:prstGeom prst="rect">
                    <a:avLst/>
                  </a:prstGeom>
                </pic:spPr>
              </pic:pic>
            </a:graphicData>
          </a:graphic>
          <wp14:sizeRelV relativeFrom="margin">
            <wp14:pctHeight>0</wp14:pctHeight>
          </wp14:sizeRelV>
        </wp:anchor>
      </w:drawing>
    </w:r>
    <w:r w:rsidRPr="00024668">
      <w:rPr>
        <w:noProof/>
      </w:rPr>
      <w:drawing>
        <wp:anchor distT="0" distB="0" distL="114300" distR="114300" simplePos="0" relativeHeight="251658241" behindDoc="1" locked="0" layoutInCell="1" allowOverlap="1" wp14:anchorId="68E56D6D" wp14:editId="44A3E309">
          <wp:simplePos x="0" y="0"/>
          <wp:positionH relativeFrom="column">
            <wp:posOffset>-485775</wp:posOffset>
          </wp:positionH>
          <wp:positionV relativeFrom="paragraph">
            <wp:posOffset>-152400</wp:posOffset>
          </wp:positionV>
          <wp:extent cx="1889760" cy="506095"/>
          <wp:effectExtent l="0" t="0" r="0" b="8255"/>
          <wp:wrapNone/>
          <wp:docPr id="91311483" name="Picture 1" descr="A black and blue sign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980289" name="Picture 1" descr="A black and blue sign with blue text&#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89760" cy="506095"/>
                  </a:xfrm>
                  <a:prstGeom prst="rect">
                    <a:avLst/>
                  </a:prstGeom>
                  <a:noFill/>
                </pic:spPr>
              </pic:pic>
            </a:graphicData>
          </a:graphic>
        </wp:anchor>
      </w:drawing>
    </w:r>
    <w:r>
      <w:tab/>
    </w:r>
    <w:r>
      <w:tab/>
    </w:r>
  </w:p>
  <w:p w14:paraId="34F942AE" w14:textId="73C528AE" w:rsidR="002E3B89" w:rsidRDefault="002E3B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1405EF"/>
    <w:multiLevelType w:val="hybridMultilevel"/>
    <w:tmpl w:val="8A5A37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D835E5D"/>
    <w:multiLevelType w:val="hybridMultilevel"/>
    <w:tmpl w:val="60307E94"/>
    <w:lvl w:ilvl="0" w:tplc="A76A09FC">
      <w:numFmt w:val="bullet"/>
      <w:lvlText w:val="•"/>
      <w:lvlJc w:val="left"/>
      <w:pPr>
        <w:ind w:left="1080" w:hanging="72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77085733">
    <w:abstractNumId w:val="0"/>
  </w:num>
  <w:num w:numId="2" w16cid:durableId="1217274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B3B413F"/>
    <w:rsid w:val="0007364B"/>
    <w:rsid w:val="001B64A2"/>
    <w:rsid w:val="001E677C"/>
    <w:rsid w:val="00291517"/>
    <w:rsid w:val="002E3B89"/>
    <w:rsid w:val="003F30B6"/>
    <w:rsid w:val="004A1410"/>
    <w:rsid w:val="00730F3F"/>
    <w:rsid w:val="0080285C"/>
    <w:rsid w:val="00844132"/>
    <w:rsid w:val="008658D8"/>
    <w:rsid w:val="0096438C"/>
    <w:rsid w:val="00CE0B89"/>
    <w:rsid w:val="00F555A6"/>
    <w:rsid w:val="7B3B41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B413F"/>
  <w15:chartTrackingRefBased/>
  <w15:docId w15:val="{6494ED9D-230C-4D95-9181-75528A177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00CE0B89"/>
    <w:pPr>
      <w:ind w:left="720"/>
      <w:contextualSpacing/>
    </w:pPr>
  </w:style>
  <w:style w:type="paragraph" w:styleId="Header">
    <w:name w:val="header"/>
    <w:basedOn w:val="Normal"/>
    <w:link w:val="HeaderChar"/>
    <w:uiPriority w:val="99"/>
    <w:unhideWhenUsed/>
    <w:rsid w:val="00730F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0F3F"/>
  </w:style>
  <w:style w:type="paragraph" w:styleId="Footer">
    <w:name w:val="footer"/>
    <w:basedOn w:val="Normal"/>
    <w:link w:val="FooterChar"/>
    <w:uiPriority w:val="99"/>
    <w:unhideWhenUsed/>
    <w:rsid w:val="00730F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0F3F"/>
  </w:style>
  <w:style w:type="character" w:styleId="Hyperlink">
    <w:name w:val="Hyperlink"/>
    <w:basedOn w:val="DefaultParagraphFont"/>
    <w:uiPriority w:val="99"/>
    <w:unhideWhenUsed/>
    <w:rsid w:val="00730F3F"/>
    <w:rPr>
      <w:color w:val="467886" w:themeColor="hyperlink"/>
      <w:u w:val="single"/>
    </w:rPr>
  </w:style>
  <w:style w:type="character" w:styleId="UnresolvedMention">
    <w:name w:val="Unresolved Mention"/>
    <w:basedOn w:val="DefaultParagraphFont"/>
    <w:uiPriority w:val="99"/>
    <w:semiHidden/>
    <w:unhideWhenUsed/>
    <w:rsid w:val="00730F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https://www.facebook.com/adrse.ro" TargetMode="External"/><Relationship Id="rId2" Type="http://schemas.openxmlformats.org/officeDocument/2006/relationships/hyperlink" Target="RegioSE" TargetMode="External"/><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ee2a0fe-1226-4a34-9e06-7c398078da57" xsi:nil="true"/>
    <lcf76f155ced4ddcb4097134ff3c332f xmlns="1f6e3964-c330-437f-9746-f4e74fd478e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5DF10022B1E084BA25B07402301E731" ma:contentTypeVersion="13" ma:contentTypeDescription="Creați un document nou." ma:contentTypeScope="" ma:versionID="b1f5b04e0beccdf5a8b67d348e199ef8">
  <xsd:schema xmlns:xsd="http://www.w3.org/2001/XMLSchema" xmlns:xs="http://www.w3.org/2001/XMLSchema" xmlns:p="http://schemas.microsoft.com/office/2006/metadata/properties" xmlns:ns2="1f6e3964-c330-437f-9746-f4e74fd478e1" xmlns:ns3="9ee2a0fe-1226-4a34-9e06-7c398078da57" targetNamespace="http://schemas.microsoft.com/office/2006/metadata/properties" ma:root="true" ma:fieldsID="4409b3527901fbfa8f3e45d3a12035b1" ns2:_="" ns3:_="">
    <xsd:import namespace="1f6e3964-c330-437f-9746-f4e74fd478e1"/>
    <xsd:import namespace="9ee2a0fe-1226-4a34-9e06-7c398078da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6e3964-c330-437f-9746-f4e74fd478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Etichete imagine" ma:readOnly="false" ma:fieldId="{5cf76f15-5ced-4ddc-b409-7134ff3c332f}" ma:taxonomyMulti="true" ma:sspId="b62ed439-0888-4e77-b5dd-592e4d4f85f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e2a0fe-1226-4a34-9e06-7c398078da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eeb27ec-c89f-4d64-ba30-1abc8b8319c4}" ma:internalName="TaxCatchAll" ma:showField="CatchAllData" ma:web="9ee2a0fe-1226-4a34-9e06-7c398078da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7D70A0-5E4B-487C-BE54-976B3A84AD12}">
  <ds:schemaRefs>
    <ds:schemaRef ds:uri="9ee2a0fe-1226-4a34-9e06-7c398078da57"/>
    <ds:schemaRef ds:uri="http://schemas.openxmlformats.org/package/2006/metadata/core-properties"/>
    <ds:schemaRef ds:uri="http://www.w3.org/XML/1998/namespace"/>
    <ds:schemaRef ds:uri="http://purl.org/dc/elements/1.1/"/>
    <ds:schemaRef ds:uri="http://purl.org/dc/dcmitype/"/>
    <ds:schemaRef ds:uri="http://schemas.microsoft.com/office/infopath/2007/PartnerControls"/>
    <ds:schemaRef ds:uri="http://schemas.microsoft.com/office/2006/documentManagement/types"/>
    <ds:schemaRef ds:uri="1f6e3964-c330-437f-9746-f4e74fd478e1"/>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D48A6071-1B1F-48EF-A178-C8D74FFE18A1}">
  <ds:schemaRefs>
    <ds:schemaRef ds:uri="http://schemas.microsoft.com/sharepoint/v3/contenttype/forms"/>
  </ds:schemaRefs>
</ds:datastoreItem>
</file>

<file path=customXml/itemProps3.xml><?xml version="1.0" encoding="utf-8"?>
<ds:datastoreItem xmlns:ds="http://schemas.openxmlformats.org/officeDocument/2006/customXml" ds:itemID="{EF5E66C6-53DF-4404-B7E2-2E52A4CD76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6e3964-c330-437f-9746-f4e74fd478e1"/>
    <ds:schemaRef ds:uri="9ee2a0fe-1226-4a34-9e06-7c398078da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1594</Words>
  <Characters>9087</Characters>
  <Application>Microsoft Office Word</Application>
  <DocSecurity>0</DocSecurity>
  <Lines>75</Lines>
  <Paragraphs>21</Paragraphs>
  <ScaleCrop>false</ScaleCrop>
  <Company/>
  <LinksUpToDate>false</LinksUpToDate>
  <CharactersWithSpaces>10660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Stavila</dc:creator>
  <cp:keywords/>
  <dc:description/>
  <cp:lastModifiedBy>Roberta Vancea</cp:lastModifiedBy>
  <cp:revision>10</cp:revision>
  <dcterms:created xsi:type="dcterms:W3CDTF">2025-03-24T08:30:00Z</dcterms:created>
  <dcterms:modified xsi:type="dcterms:W3CDTF">2025-03-25T10:31:00Z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0x01010015DF10022B1E084BA25B07402301E731</vt:lpwstr>
  </property>
  <property fmtid="{D5CDD505-2E9C-101B-9397-08002B2CF9AE}" pid="3" name="MediaServiceImageTags">
    <vt:lpwstr/>
  </property>
</Properties>
</file>